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FDF" w:rsidRDefault="00C11FDF" w:rsidP="0062372C">
      <w:pPr>
        <w:spacing w:after="0" w:line="240" w:lineRule="auto"/>
        <w:jc w:val="center"/>
        <w:rPr>
          <w:rFonts w:ascii="Times New Roman" w:hAnsi="Times New Roman"/>
          <w:b/>
          <w:sz w:val="28"/>
          <w:szCs w:val="28"/>
          <w:lang w:val="en-US"/>
        </w:rPr>
      </w:pPr>
      <w:r>
        <w:rPr>
          <w:rFonts w:ascii="Times New Roman" w:hAnsi="Times New Roman"/>
          <w:b/>
          <w:sz w:val="28"/>
          <w:szCs w:val="28"/>
          <w:lang w:val="en-US"/>
        </w:rPr>
        <w:t>Press-Release</w:t>
      </w:r>
    </w:p>
    <w:p w:rsidR="00C11FDF" w:rsidRDefault="00C11FDF" w:rsidP="0062372C">
      <w:pPr>
        <w:spacing w:after="0" w:line="240" w:lineRule="auto"/>
        <w:jc w:val="center"/>
        <w:rPr>
          <w:rFonts w:ascii="Times New Roman" w:hAnsi="Times New Roman"/>
          <w:b/>
          <w:sz w:val="28"/>
          <w:szCs w:val="28"/>
          <w:lang w:val="en-US"/>
        </w:rPr>
      </w:pPr>
      <w:r>
        <w:rPr>
          <w:rFonts w:ascii="Times New Roman" w:hAnsi="Times New Roman"/>
          <w:b/>
          <w:sz w:val="28"/>
          <w:szCs w:val="28"/>
          <w:lang w:val="en-US"/>
        </w:rPr>
        <w:t>01.02.2016</w:t>
      </w:r>
    </w:p>
    <w:p w:rsidR="00C11FDF" w:rsidRDefault="00C11FDF" w:rsidP="0062372C">
      <w:pPr>
        <w:spacing w:after="0" w:line="240" w:lineRule="auto"/>
        <w:jc w:val="center"/>
        <w:rPr>
          <w:rFonts w:ascii="Times New Roman" w:hAnsi="Times New Roman"/>
          <w:b/>
          <w:sz w:val="28"/>
          <w:szCs w:val="28"/>
          <w:lang w:val="en-US"/>
        </w:rPr>
      </w:pPr>
    </w:p>
    <w:p w:rsidR="00C11FDF" w:rsidRDefault="00C11FDF" w:rsidP="00C11FDF">
      <w:pPr>
        <w:spacing w:after="0" w:line="240" w:lineRule="auto"/>
        <w:jc w:val="center"/>
        <w:rPr>
          <w:rFonts w:ascii="Times New Roman" w:hAnsi="Times New Roman"/>
          <w:b/>
          <w:sz w:val="28"/>
          <w:szCs w:val="28"/>
        </w:rPr>
      </w:pPr>
      <w:r>
        <w:rPr>
          <w:rFonts w:ascii="Times New Roman" w:hAnsi="Times New Roman"/>
          <w:b/>
          <w:sz w:val="28"/>
          <w:szCs w:val="28"/>
        </w:rPr>
        <w:t>A</w:t>
      </w:r>
      <w:r w:rsidR="004D27DB">
        <w:rPr>
          <w:rFonts w:ascii="Times New Roman" w:hAnsi="Times New Roman"/>
          <w:b/>
          <w:sz w:val="28"/>
          <w:szCs w:val="28"/>
        </w:rPr>
        <w:t>pelul</w:t>
      </w:r>
      <w:r>
        <w:rPr>
          <w:rFonts w:ascii="Times New Roman" w:hAnsi="Times New Roman"/>
          <w:b/>
          <w:sz w:val="28"/>
          <w:szCs w:val="28"/>
        </w:rPr>
        <w:t xml:space="preserve"> de concurs</w:t>
      </w:r>
      <w:r w:rsidR="004D27DB">
        <w:rPr>
          <w:rFonts w:ascii="Times New Roman" w:hAnsi="Times New Roman"/>
          <w:b/>
          <w:sz w:val="28"/>
          <w:szCs w:val="28"/>
        </w:rPr>
        <w:t xml:space="preserve"> pentru proiecte comune de cercetare în domeniul</w:t>
      </w:r>
      <w:r>
        <w:rPr>
          <w:rFonts w:ascii="Times New Roman" w:hAnsi="Times New Roman"/>
          <w:b/>
          <w:sz w:val="28"/>
          <w:szCs w:val="28"/>
        </w:rPr>
        <w:t xml:space="preserve"> </w:t>
      </w:r>
      <w:r w:rsidR="004D27DB">
        <w:rPr>
          <w:rFonts w:ascii="Times New Roman" w:hAnsi="Times New Roman"/>
          <w:b/>
          <w:sz w:val="28"/>
          <w:szCs w:val="28"/>
        </w:rPr>
        <w:t>apelor</w:t>
      </w:r>
    </w:p>
    <w:p w:rsidR="00C11FDF" w:rsidRDefault="004D27DB" w:rsidP="00C11FDF">
      <w:pPr>
        <w:spacing w:after="0" w:line="240" w:lineRule="auto"/>
        <w:jc w:val="center"/>
        <w:rPr>
          <w:rFonts w:ascii="Times New Roman" w:hAnsi="Times New Roman"/>
          <w:b/>
          <w:sz w:val="28"/>
          <w:szCs w:val="28"/>
        </w:rPr>
      </w:pPr>
      <w:r>
        <w:rPr>
          <w:rFonts w:ascii="Times New Roman" w:hAnsi="Times New Roman"/>
          <w:b/>
          <w:sz w:val="28"/>
          <w:szCs w:val="28"/>
        </w:rPr>
        <w:t>”Sustainable management of water resources in agriculture, forestry and freshwater aquaculture sectors”  în cadrul  proiectului</w:t>
      </w:r>
    </w:p>
    <w:p w:rsidR="004D27DB" w:rsidRDefault="004D27DB" w:rsidP="00C11FDF">
      <w:pPr>
        <w:spacing w:after="0" w:line="240" w:lineRule="auto"/>
        <w:jc w:val="center"/>
        <w:rPr>
          <w:rFonts w:ascii="Times New Roman" w:hAnsi="Times New Roman"/>
          <w:b/>
          <w:sz w:val="28"/>
          <w:szCs w:val="28"/>
        </w:rPr>
      </w:pPr>
      <w:r>
        <w:rPr>
          <w:rFonts w:ascii="Times New Roman" w:hAnsi="Times New Roman"/>
          <w:b/>
          <w:sz w:val="28"/>
          <w:szCs w:val="28"/>
        </w:rPr>
        <w:t>JPI- WaterWorks2015</w:t>
      </w:r>
      <w:r w:rsidR="00C11FDF">
        <w:rPr>
          <w:rFonts w:ascii="Times New Roman" w:hAnsi="Times New Roman"/>
          <w:b/>
          <w:sz w:val="28"/>
          <w:szCs w:val="28"/>
        </w:rPr>
        <w:t xml:space="preserve"> </w:t>
      </w:r>
      <w:r>
        <w:rPr>
          <w:rFonts w:ascii="Times New Roman" w:hAnsi="Times New Roman"/>
          <w:b/>
          <w:sz w:val="28"/>
          <w:szCs w:val="28"/>
        </w:rPr>
        <w:t>ERA-NET Cofund</w:t>
      </w:r>
    </w:p>
    <w:p w:rsidR="004B690D" w:rsidRDefault="004B690D" w:rsidP="0062372C">
      <w:pPr>
        <w:spacing w:after="0" w:line="240" w:lineRule="auto"/>
        <w:rPr>
          <w:color w:val="000000"/>
        </w:rPr>
      </w:pPr>
    </w:p>
    <w:p w:rsidR="00BB235C" w:rsidRPr="009D3844" w:rsidRDefault="004B690D" w:rsidP="006E404D">
      <w:pPr>
        <w:spacing w:after="120" w:line="240" w:lineRule="auto"/>
        <w:jc w:val="both"/>
        <w:rPr>
          <w:rFonts w:ascii="Times New Roman" w:hAnsi="Times New Roman"/>
          <w:sz w:val="24"/>
          <w:szCs w:val="24"/>
        </w:rPr>
      </w:pPr>
      <w:r w:rsidRPr="004B690D">
        <w:rPr>
          <w:rFonts w:ascii="Times New Roman" w:hAnsi="Times New Roman"/>
          <w:color w:val="000000"/>
          <w:sz w:val="24"/>
          <w:szCs w:val="24"/>
        </w:rPr>
        <w:t xml:space="preserve">Academia de Ştiinţe a Moldovei (AŞM) şi </w:t>
      </w:r>
      <w:r w:rsidR="00BB235C">
        <w:rPr>
          <w:rFonts w:ascii="Times New Roman" w:hAnsi="Times New Roman"/>
          <w:sz w:val="24"/>
          <w:szCs w:val="24"/>
        </w:rPr>
        <w:t>Centrul Propiecte Internaționale al AȘM</w:t>
      </w:r>
      <w:r w:rsidRPr="004B690D">
        <w:rPr>
          <w:rFonts w:ascii="Times New Roman" w:hAnsi="Times New Roman"/>
          <w:sz w:val="24"/>
          <w:szCs w:val="24"/>
        </w:rPr>
        <w:t xml:space="preserve"> lansează Apelul comun pentru depunerea propunerilor de proiecte de cercetare, în </w:t>
      </w:r>
      <w:r w:rsidR="00BB235C">
        <w:rPr>
          <w:rFonts w:ascii="Times New Roman" w:hAnsi="Times New Roman"/>
          <w:sz w:val="24"/>
          <w:szCs w:val="24"/>
        </w:rPr>
        <w:t xml:space="preserve">cadrul Inițiativei Uniunii Europene pentru Programare Comună în domeniul apelor: </w:t>
      </w:r>
      <w:r w:rsidR="00BB235C" w:rsidRPr="00C33C12">
        <w:rPr>
          <w:rFonts w:ascii="Verdana" w:hAnsi="Verdana"/>
          <w:sz w:val="20"/>
          <w:szCs w:val="20"/>
          <w:lang w:val="en-US"/>
        </w:rPr>
        <w:t>“</w:t>
      </w:r>
      <w:r w:rsidR="00BB235C" w:rsidRPr="00BB235C">
        <w:rPr>
          <w:rFonts w:ascii="Times New Roman" w:hAnsi="Times New Roman"/>
          <w:sz w:val="24"/>
          <w:szCs w:val="24"/>
          <w:lang w:val="en-US"/>
        </w:rPr>
        <w:t xml:space="preserve">Water Challenges for a Changing World” Joint Programming Initiative (JPI), </w:t>
      </w:r>
      <w:r w:rsidR="00BB235C">
        <w:rPr>
          <w:rFonts w:ascii="Times New Roman" w:hAnsi="Times New Roman"/>
          <w:sz w:val="24"/>
          <w:szCs w:val="24"/>
          <w:lang w:val="en-US"/>
        </w:rPr>
        <w:t>și proiectul</w:t>
      </w:r>
      <w:r w:rsidR="008473C0">
        <w:rPr>
          <w:rFonts w:ascii="Times New Roman" w:hAnsi="Times New Roman"/>
          <w:sz w:val="24"/>
          <w:szCs w:val="24"/>
          <w:lang w:val="en-US"/>
        </w:rPr>
        <w:t>ui</w:t>
      </w:r>
      <w:r w:rsidR="00BB235C">
        <w:rPr>
          <w:rFonts w:ascii="Times New Roman" w:hAnsi="Times New Roman"/>
          <w:sz w:val="24"/>
          <w:szCs w:val="24"/>
          <w:lang w:val="en-US"/>
        </w:rPr>
        <w:t xml:space="preserve"> </w:t>
      </w:r>
      <w:r w:rsidR="00BB235C" w:rsidRPr="00BB235C">
        <w:rPr>
          <w:rFonts w:ascii="Times New Roman" w:hAnsi="Times New Roman"/>
          <w:sz w:val="24"/>
          <w:szCs w:val="24"/>
        </w:rPr>
        <w:t xml:space="preserve">JPI-WaterWorks2015 ERA-NET Cofund </w:t>
      </w:r>
      <w:r w:rsidR="008473C0" w:rsidRPr="008473C0">
        <w:rPr>
          <w:rFonts w:ascii="Times New Roman" w:hAnsi="Times New Roman"/>
          <w:bCs/>
          <w:sz w:val="24"/>
          <w:szCs w:val="24"/>
        </w:rPr>
        <w:t>„</w:t>
      </w:r>
      <w:r w:rsidR="008473C0" w:rsidRPr="00371E0D">
        <w:rPr>
          <w:rFonts w:ascii="Times New Roman" w:hAnsi="Times New Roman"/>
          <w:b/>
          <w:sz w:val="24"/>
          <w:szCs w:val="24"/>
        </w:rPr>
        <w:t xml:space="preserve">Sustainable </w:t>
      </w:r>
      <w:r w:rsidR="002765ED" w:rsidRPr="00371E0D">
        <w:rPr>
          <w:rFonts w:ascii="Times New Roman" w:hAnsi="Times New Roman"/>
          <w:b/>
          <w:sz w:val="24"/>
          <w:szCs w:val="24"/>
        </w:rPr>
        <w:t>M</w:t>
      </w:r>
      <w:r w:rsidR="008473C0" w:rsidRPr="00371E0D">
        <w:rPr>
          <w:rFonts w:ascii="Times New Roman" w:hAnsi="Times New Roman"/>
          <w:b/>
          <w:sz w:val="24"/>
          <w:szCs w:val="24"/>
        </w:rPr>
        <w:t xml:space="preserve">anagement of </w:t>
      </w:r>
      <w:r w:rsidR="002765ED" w:rsidRPr="00371E0D">
        <w:rPr>
          <w:rFonts w:ascii="Times New Roman" w:hAnsi="Times New Roman"/>
          <w:b/>
          <w:sz w:val="24"/>
          <w:szCs w:val="24"/>
        </w:rPr>
        <w:t>W</w:t>
      </w:r>
      <w:r w:rsidR="008473C0" w:rsidRPr="00371E0D">
        <w:rPr>
          <w:rFonts w:ascii="Times New Roman" w:hAnsi="Times New Roman"/>
          <w:b/>
          <w:sz w:val="24"/>
          <w:szCs w:val="24"/>
        </w:rPr>
        <w:t xml:space="preserve">ater </w:t>
      </w:r>
      <w:r w:rsidR="002765ED" w:rsidRPr="00371E0D">
        <w:rPr>
          <w:rFonts w:ascii="Times New Roman" w:hAnsi="Times New Roman"/>
          <w:b/>
          <w:sz w:val="24"/>
          <w:szCs w:val="24"/>
        </w:rPr>
        <w:t>R</w:t>
      </w:r>
      <w:r w:rsidR="008473C0" w:rsidRPr="00371E0D">
        <w:rPr>
          <w:rFonts w:ascii="Times New Roman" w:hAnsi="Times New Roman"/>
          <w:b/>
          <w:sz w:val="24"/>
          <w:szCs w:val="24"/>
        </w:rPr>
        <w:t xml:space="preserve">esources in </w:t>
      </w:r>
      <w:r w:rsidR="002765ED" w:rsidRPr="00371E0D">
        <w:rPr>
          <w:rFonts w:ascii="Times New Roman" w:hAnsi="Times New Roman"/>
          <w:b/>
          <w:sz w:val="24"/>
          <w:szCs w:val="24"/>
        </w:rPr>
        <w:t>A</w:t>
      </w:r>
      <w:r w:rsidR="008473C0" w:rsidRPr="00371E0D">
        <w:rPr>
          <w:rFonts w:ascii="Times New Roman" w:hAnsi="Times New Roman"/>
          <w:b/>
          <w:sz w:val="24"/>
          <w:szCs w:val="24"/>
        </w:rPr>
        <w:t xml:space="preserve">griculture, </w:t>
      </w:r>
      <w:r w:rsidR="002765ED" w:rsidRPr="00371E0D">
        <w:rPr>
          <w:rFonts w:ascii="Times New Roman" w:hAnsi="Times New Roman"/>
          <w:b/>
          <w:sz w:val="24"/>
          <w:szCs w:val="24"/>
        </w:rPr>
        <w:t>F</w:t>
      </w:r>
      <w:r w:rsidR="008473C0" w:rsidRPr="00371E0D">
        <w:rPr>
          <w:rFonts w:ascii="Times New Roman" w:hAnsi="Times New Roman"/>
          <w:b/>
          <w:sz w:val="24"/>
          <w:szCs w:val="24"/>
        </w:rPr>
        <w:t xml:space="preserve">orestry and </w:t>
      </w:r>
      <w:r w:rsidR="002765ED" w:rsidRPr="00371E0D">
        <w:rPr>
          <w:rFonts w:ascii="Times New Roman" w:hAnsi="Times New Roman"/>
          <w:b/>
          <w:sz w:val="24"/>
          <w:szCs w:val="24"/>
        </w:rPr>
        <w:t>F</w:t>
      </w:r>
      <w:r w:rsidR="008473C0" w:rsidRPr="00371E0D">
        <w:rPr>
          <w:rFonts w:ascii="Times New Roman" w:hAnsi="Times New Roman"/>
          <w:b/>
          <w:sz w:val="24"/>
          <w:szCs w:val="24"/>
        </w:rPr>
        <w:t xml:space="preserve">reshwater </w:t>
      </w:r>
      <w:r w:rsidR="002765ED" w:rsidRPr="00371E0D">
        <w:rPr>
          <w:rFonts w:ascii="Times New Roman" w:hAnsi="Times New Roman"/>
          <w:b/>
          <w:sz w:val="24"/>
          <w:szCs w:val="24"/>
        </w:rPr>
        <w:t>A</w:t>
      </w:r>
      <w:r w:rsidR="008473C0" w:rsidRPr="00371E0D">
        <w:rPr>
          <w:rFonts w:ascii="Times New Roman" w:hAnsi="Times New Roman"/>
          <w:b/>
          <w:sz w:val="24"/>
          <w:szCs w:val="24"/>
        </w:rPr>
        <w:t xml:space="preserve">quaculture </w:t>
      </w:r>
      <w:r w:rsidR="00F34D8B" w:rsidRPr="00371E0D">
        <w:rPr>
          <w:rFonts w:ascii="Times New Roman" w:hAnsi="Times New Roman"/>
          <w:b/>
          <w:sz w:val="24"/>
          <w:szCs w:val="24"/>
        </w:rPr>
        <w:t>S</w:t>
      </w:r>
      <w:r w:rsidR="008473C0" w:rsidRPr="00371E0D">
        <w:rPr>
          <w:rFonts w:ascii="Times New Roman" w:hAnsi="Times New Roman"/>
          <w:b/>
          <w:sz w:val="24"/>
          <w:szCs w:val="24"/>
        </w:rPr>
        <w:t>ectors</w:t>
      </w:r>
      <w:r w:rsidR="008473C0" w:rsidRPr="00371E0D">
        <w:rPr>
          <w:rFonts w:ascii="Times New Roman" w:hAnsi="Times New Roman"/>
          <w:b/>
          <w:bCs/>
          <w:sz w:val="24"/>
          <w:szCs w:val="24"/>
        </w:rPr>
        <w:t>”</w:t>
      </w:r>
      <w:r w:rsidR="002765ED">
        <w:rPr>
          <w:rFonts w:ascii="Times New Roman" w:hAnsi="Times New Roman"/>
          <w:bCs/>
          <w:sz w:val="24"/>
          <w:szCs w:val="24"/>
        </w:rPr>
        <w:t>/</w:t>
      </w:r>
      <w:r w:rsidR="00371E0D">
        <w:rPr>
          <w:rFonts w:ascii="Times New Roman" w:hAnsi="Times New Roman"/>
          <w:bCs/>
          <w:sz w:val="24"/>
          <w:szCs w:val="24"/>
        </w:rPr>
        <w:t xml:space="preserve"> ”</w:t>
      </w:r>
      <w:r w:rsidR="002765ED">
        <w:rPr>
          <w:rFonts w:ascii="Times New Roman" w:hAnsi="Times New Roman"/>
          <w:bCs/>
          <w:sz w:val="24"/>
          <w:szCs w:val="24"/>
        </w:rPr>
        <w:t>Managementul Sustenabil</w:t>
      </w:r>
      <w:r w:rsidR="00F34D8B">
        <w:rPr>
          <w:rFonts w:ascii="Times New Roman" w:hAnsi="Times New Roman"/>
          <w:bCs/>
          <w:sz w:val="24"/>
          <w:szCs w:val="24"/>
        </w:rPr>
        <w:t xml:space="preserve"> a Resurselor de Apă </w:t>
      </w:r>
      <w:r w:rsidR="008F0925" w:rsidRPr="009D3844">
        <w:rPr>
          <w:rFonts w:ascii="Times New Roman" w:hAnsi="Times New Roman"/>
          <w:sz w:val="24"/>
          <w:szCs w:val="24"/>
        </w:rPr>
        <w:t xml:space="preserve">în agricultură, silvicultură și </w:t>
      </w:r>
      <w:r w:rsidR="008F0925">
        <w:rPr>
          <w:rFonts w:ascii="Times New Roman" w:hAnsi="Times New Roman"/>
          <w:sz w:val="24"/>
          <w:szCs w:val="24"/>
        </w:rPr>
        <w:t>acvaculturii de apă dulce”</w:t>
      </w:r>
      <w:r w:rsidR="008473C0">
        <w:rPr>
          <w:rFonts w:ascii="Times New Roman" w:hAnsi="Times New Roman"/>
          <w:sz w:val="24"/>
          <w:szCs w:val="24"/>
          <w:lang w:val="en-US"/>
        </w:rPr>
        <w:t xml:space="preserve">, </w:t>
      </w:r>
      <w:r w:rsidR="00BB235C" w:rsidRPr="00BB235C">
        <w:rPr>
          <w:rFonts w:ascii="Times New Roman" w:hAnsi="Times New Roman"/>
          <w:sz w:val="24"/>
          <w:szCs w:val="24"/>
          <w:lang w:val="en-US"/>
        </w:rPr>
        <w:t xml:space="preserve">la care </w:t>
      </w:r>
      <w:r w:rsidR="00BB235C" w:rsidRPr="009D3844">
        <w:rPr>
          <w:rFonts w:ascii="Times New Roman" w:hAnsi="Times New Roman"/>
          <w:sz w:val="24"/>
          <w:szCs w:val="24"/>
          <w:lang w:val="en-US"/>
        </w:rPr>
        <w:t>AȘM face parte</w:t>
      </w:r>
      <w:r w:rsidR="0076695B">
        <w:rPr>
          <w:rFonts w:ascii="Times New Roman" w:hAnsi="Times New Roman"/>
          <w:sz w:val="24"/>
          <w:szCs w:val="24"/>
          <w:lang w:val="en-US"/>
        </w:rPr>
        <w:t>,</w:t>
      </w:r>
      <w:r w:rsidR="00BB235C" w:rsidRPr="009D3844">
        <w:rPr>
          <w:rFonts w:ascii="Times New Roman" w:hAnsi="Times New Roman"/>
          <w:sz w:val="24"/>
          <w:szCs w:val="24"/>
          <w:lang w:val="en-US"/>
        </w:rPr>
        <w:t xml:space="preserve"> </w:t>
      </w:r>
      <w:r w:rsidR="008473C0" w:rsidRPr="009D3844">
        <w:rPr>
          <w:rFonts w:ascii="Times New Roman" w:hAnsi="Times New Roman"/>
          <w:sz w:val="24"/>
          <w:szCs w:val="24"/>
          <w:lang w:val="en-US"/>
        </w:rPr>
        <w:t>pe lîngă 18</w:t>
      </w:r>
      <w:r w:rsidR="008473C0" w:rsidRPr="009D3844">
        <w:rPr>
          <w:rFonts w:ascii="Times New Roman" w:hAnsi="Times New Roman"/>
          <w:b/>
          <w:sz w:val="24"/>
          <w:szCs w:val="24"/>
        </w:rPr>
        <w:t xml:space="preserve"> </w:t>
      </w:r>
      <w:r w:rsidR="008473C0" w:rsidRPr="009D3844">
        <w:rPr>
          <w:rFonts w:ascii="Times New Roman" w:hAnsi="Times New Roman"/>
          <w:sz w:val="24"/>
          <w:szCs w:val="24"/>
        </w:rPr>
        <w:t xml:space="preserve">de parteneri din sfera cercetare-inovare din </w:t>
      </w:r>
      <w:r w:rsidR="0076695B">
        <w:rPr>
          <w:rFonts w:ascii="Times New Roman" w:hAnsi="Times New Roman"/>
          <w:sz w:val="24"/>
          <w:szCs w:val="24"/>
        </w:rPr>
        <w:t>16</w:t>
      </w:r>
      <w:r w:rsidR="008473C0" w:rsidRPr="009D3844">
        <w:rPr>
          <w:rFonts w:ascii="Times New Roman" w:hAnsi="Times New Roman"/>
          <w:sz w:val="24"/>
          <w:szCs w:val="24"/>
        </w:rPr>
        <w:t xml:space="preserve"> ţări (Lista ţărilor este în Apelul de concurs).</w:t>
      </w:r>
    </w:p>
    <w:p w:rsidR="004D27DB" w:rsidRPr="009D3844" w:rsidRDefault="004D27DB" w:rsidP="006E404D">
      <w:pPr>
        <w:spacing w:after="120" w:line="240" w:lineRule="auto"/>
        <w:jc w:val="both"/>
        <w:rPr>
          <w:rFonts w:ascii="Times New Roman" w:hAnsi="Times New Roman"/>
          <w:sz w:val="24"/>
          <w:szCs w:val="24"/>
        </w:rPr>
      </w:pPr>
      <w:r w:rsidRPr="009D3844">
        <w:rPr>
          <w:rFonts w:ascii="Times New Roman" w:hAnsi="Times New Roman"/>
          <w:sz w:val="24"/>
          <w:szCs w:val="24"/>
        </w:rPr>
        <w:t xml:space="preserve">Scopul </w:t>
      </w:r>
      <w:r w:rsidR="006E404D">
        <w:rPr>
          <w:rFonts w:ascii="Times New Roman" w:hAnsi="Times New Roman"/>
          <w:sz w:val="24"/>
          <w:szCs w:val="24"/>
        </w:rPr>
        <w:t>A</w:t>
      </w:r>
      <w:r w:rsidRPr="009D3844">
        <w:rPr>
          <w:rFonts w:ascii="Times New Roman" w:hAnsi="Times New Roman"/>
          <w:sz w:val="24"/>
          <w:szCs w:val="24"/>
        </w:rPr>
        <w:t xml:space="preserve">pelului este de a susţine proiecte de cercetare care vizează dezvoltarea de noi concepte, evaluarea riscurilor, atingerea eficienţei costurilor şi îmbunătăţirea calităţii vieţii, contibuind astfel la abordarea provocărilor europene din domeniul apelor. Tema Apelului acoperă parțial temele prioritare descrise în </w:t>
      </w:r>
      <w:r w:rsidRPr="009D3844">
        <w:rPr>
          <w:rFonts w:ascii="Times New Roman" w:hAnsi="Times New Roman"/>
          <w:caps/>
          <w:sz w:val="24"/>
          <w:szCs w:val="24"/>
        </w:rPr>
        <w:t>a</w:t>
      </w:r>
      <w:r w:rsidRPr="009D3844">
        <w:rPr>
          <w:rFonts w:ascii="Times New Roman" w:hAnsi="Times New Roman"/>
          <w:sz w:val="24"/>
          <w:szCs w:val="24"/>
        </w:rPr>
        <w:t xml:space="preserve">genda de </w:t>
      </w:r>
      <w:r w:rsidRPr="009D3844">
        <w:rPr>
          <w:rFonts w:ascii="Times New Roman" w:hAnsi="Times New Roman"/>
          <w:caps/>
          <w:sz w:val="24"/>
          <w:szCs w:val="24"/>
        </w:rPr>
        <w:t>c</w:t>
      </w:r>
      <w:r w:rsidRPr="009D3844">
        <w:rPr>
          <w:rFonts w:ascii="Times New Roman" w:hAnsi="Times New Roman"/>
          <w:sz w:val="24"/>
          <w:szCs w:val="24"/>
        </w:rPr>
        <w:t xml:space="preserve">ercetare și </w:t>
      </w:r>
      <w:r w:rsidRPr="009D3844">
        <w:rPr>
          <w:rFonts w:ascii="Times New Roman" w:hAnsi="Times New Roman"/>
          <w:caps/>
          <w:sz w:val="24"/>
          <w:szCs w:val="24"/>
        </w:rPr>
        <w:t>i</w:t>
      </w:r>
      <w:r w:rsidRPr="009D3844">
        <w:rPr>
          <w:rFonts w:ascii="Times New Roman" w:hAnsi="Times New Roman"/>
          <w:sz w:val="24"/>
          <w:szCs w:val="24"/>
        </w:rPr>
        <w:t xml:space="preserve">novare </w:t>
      </w:r>
      <w:r w:rsidRPr="009D3844">
        <w:rPr>
          <w:rFonts w:ascii="Times New Roman" w:hAnsi="Times New Roman"/>
          <w:caps/>
          <w:sz w:val="24"/>
          <w:szCs w:val="24"/>
        </w:rPr>
        <w:t>s</w:t>
      </w:r>
      <w:r w:rsidRPr="009D3844">
        <w:rPr>
          <w:rFonts w:ascii="Times New Roman" w:hAnsi="Times New Roman"/>
          <w:sz w:val="24"/>
          <w:szCs w:val="24"/>
        </w:rPr>
        <w:t xml:space="preserve">trategică (SRIA) a </w:t>
      </w:r>
      <w:r w:rsidR="006E404D">
        <w:rPr>
          <w:rFonts w:ascii="Times New Roman" w:hAnsi="Times New Roman"/>
          <w:sz w:val="24"/>
          <w:szCs w:val="24"/>
        </w:rPr>
        <w:t>Inițiativei Uniunii Europene pentru Programare Comună</w:t>
      </w:r>
      <w:r w:rsidR="006E404D" w:rsidRPr="009D3844">
        <w:rPr>
          <w:rFonts w:ascii="Times New Roman" w:hAnsi="Times New Roman"/>
          <w:sz w:val="24"/>
          <w:szCs w:val="24"/>
        </w:rPr>
        <w:t xml:space="preserve"> </w:t>
      </w:r>
      <w:r w:rsidR="006E404D">
        <w:rPr>
          <w:rFonts w:ascii="Times New Roman" w:hAnsi="Times New Roman"/>
          <w:sz w:val="24"/>
          <w:szCs w:val="24"/>
        </w:rPr>
        <w:t>”</w:t>
      </w:r>
      <w:r w:rsidRPr="009D3844">
        <w:rPr>
          <w:rFonts w:ascii="Times New Roman" w:hAnsi="Times New Roman"/>
          <w:sz w:val="24"/>
          <w:szCs w:val="24"/>
        </w:rPr>
        <w:t>Water JPI</w:t>
      </w:r>
      <w:r w:rsidR="006E404D">
        <w:rPr>
          <w:rFonts w:ascii="Times New Roman" w:hAnsi="Times New Roman"/>
          <w:sz w:val="24"/>
          <w:szCs w:val="24"/>
        </w:rPr>
        <w:t>”</w:t>
      </w:r>
      <w:r w:rsidRPr="009D3844">
        <w:rPr>
          <w:rFonts w:ascii="Times New Roman" w:hAnsi="Times New Roman"/>
          <w:sz w:val="24"/>
          <w:szCs w:val="24"/>
        </w:rPr>
        <w:t xml:space="preserve"> și în Agenda </w:t>
      </w:r>
      <w:r w:rsidRPr="009D3844">
        <w:rPr>
          <w:rFonts w:ascii="Times New Roman" w:hAnsi="Times New Roman"/>
          <w:caps/>
          <w:sz w:val="24"/>
          <w:szCs w:val="24"/>
        </w:rPr>
        <w:t>s</w:t>
      </w:r>
      <w:r w:rsidRPr="009D3844">
        <w:rPr>
          <w:rFonts w:ascii="Times New Roman" w:hAnsi="Times New Roman"/>
          <w:sz w:val="24"/>
          <w:szCs w:val="24"/>
        </w:rPr>
        <w:t xml:space="preserve">trategică de </w:t>
      </w:r>
      <w:r w:rsidRPr="009D3844">
        <w:rPr>
          <w:rFonts w:ascii="Times New Roman" w:hAnsi="Times New Roman"/>
          <w:caps/>
          <w:sz w:val="24"/>
          <w:szCs w:val="24"/>
        </w:rPr>
        <w:t>c</w:t>
      </w:r>
      <w:r w:rsidRPr="009D3844">
        <w:rPr>
          <w:rFonts w:ascii="Times New Roman" w:hAnsi="Times New Roman"/>
          <w:sz w:val="24"/>
          <w:szCs w:val="24"/>
        </w:rPr>
        <w:t xml:space="preserve">ercetare din FACCE JPI. </w:t>
      </w:r>
    </w:p>
    <w:p w:rsidR="004D27DB" w:rsidRPr="009D3844" w:rsidRDefault="004D27DB" w:rsidP="008F0925">
      <w:pPr>
        <w:spacing w:after="120" w:line="240" w:lineRule="auto"/>
        <w:jc w:val="both"/>
        <w:rPr>
          <w:rFonts w:ascii="Times New Roman" w:hAnsi="Times New Roman"/>
          <w:sz w:val="24"/>
          <w:szCs w:val="24"/>
        </w:rPr>
      </w:pPr>
      <w:r w:rsidRPr="009D3844">
        <w:rPr>
          <w:rFonts w:ascii="Times New Roman" w:hAnsi="Times New Roman"/>
          <w:color w:val="222222"/>
          <w:sz w:val="24"/>
          <w:szCs w:val="24"/>
        </w:rPr>
        <w:t>Domeni</w:t>
      </w:r>
      <w:r w:rsidR="00742234">
        <w:rPr>
          <w:rFonts w:ascii="Times New Roman" w:hAnsi="Times New Roman"/>
          <w:color w:val="222222"/>
          <w:sz w:val="24"/>
          <w:szCs w:val="24"/>
        </w:rPr>
        <w:t>i</w:t>
      </w:r>
      <w:r w:rsidRPr="009D3844">
        <w:rPr>
          <w:rFonts w:ascii="Times New Roman" w:hAnsi="Times New Roman"/>
          <w:color w:val="222222"/>
          <w:sz w:val="24"/>
          <w:szCs w:val="24"/>
        </w:rPr>
        <w:t>l</w:t>
      </w:r>
      <w:r w:rsidR="00742234">
        <w:rPr>
          <w:rFonts w:ascii="Times New Roman" w:hAnsi="Times New Roman"/>
          <w:color w:val="222222"/>
          <w:sz w:val="24"/>
          <w:szCs w:val="24"/>
        </w:rPr>
        <w:t>e</w:t>
      </w:r>
      <w:r w:rsidRPr="009D3844">
        <w:rPr>
          <w:rFonts w:ascii="Times New Roman" w:hAnsi="Times New Roman"/>
          <w:color w:val="222222"/>
          <w:sz w:val="24"/>
          <w:szCs w:val="24"/>
        </w:rPr>
        <w:t xml:space="preserve"> de aplicare al cererii comune </w:t>
      </w:r>
      <w:r w:rsidRPr="009D3844">
        <w:rPr>
          <w:rFonts w:ascii="Times New Roman" w:hAnsi="Times New Roman"/>
          <w:sz w:val="24"/>
          <w:szCs w:val="24"/>
        </w:rPr>
        <w:t xml:space="preserve"> trebuie să vizeze:</w:t>
      </w:r>
    </w:p>
    <w:p w:rsidR="004D27DB" w:rsidRPr="00767A1A" w:rsidRDefault="004D27DB" w:rsidP="00BF3899">
      <w:pPr>
        <w:spacing w:after="120" w:line="240" w:lineRule="auto"/>
        <w:ind w:left="426"/>
        <w:jc w:val="both"/>
        <w:rPr>
          <w:rFonts w:ascii="Times New Roman" w:hAnsi="Times New Roman"/>
          <w:i/>
          <w:sz w:val="24"/>
          <w:szCs w:val="24"/>
        </w:rPr>
      </w:pPr>
      <w:r w:rsidRPr="00767A1A">
        <w:rPr>
          <w:rFonts w:ascii="Times New Roman" w:hAnsi="Times New Roman"/>
          <w:i/>
          <w:sz w:val="24"/>
          <w:szCs w:val="24"/>
        </w:rPr>
        <w:t>- Creșterea eficienței utilizării apei în agricultură, silvicultură și pescuit intern;</w:t>
      </w:r>
    </w:p>
    <w:p w:rsidR="004D27DB" w:rsidRPr="00767A1A" w:rsidRDefault="004D27DB" w:rsidP="00BF3899">
      <w:pPr>
        <w:spacing w:after="120" w:line="240" w:lineRule="auto"/>
        <w:ind w:left="426"/>
        <w:jc w:val="both"/>
        <w:rPr>
          <w:rFonts w:ascii="Times New Roman" w:hAnsi="Times New Roman"/>
          <w:i/>
          <w:sz w:val="24"/>
          <w:szCs w:val="24"/>
        </w:rPr>
      </w:pPr>
      <w:r w:rsidRPr="00767A1A">
        <w:rPr>
          <w:rFonts w:ascii="Times New Roman" w:hAnsi="Times New Roman"/>
          <w:i/>
          <w:sz w:val="24"/>
          <w:szCs w:val="24"/>
        </w:rPr>
        <w:t>- Monitorizarea solului şi impactul poluării apei şi reducerea lor;</w:t>
      </w:r>
    </w:p>
    <w:p w:rsidR="004D27DB" w:rsidRPr="00767A1A" w:rsidRDefault="004D27DB" w:rsidP="00BF3899">
      <w:pPr>
        <w:spacing w:after="120" w:line="240" w:lineRule="auto"/>
        <w:ind w:left="426"/>
        <w:jc w:val="both"/>
        <w:rPr>
          <w:rFonts w:ascii="Times New Roman" w:hAnsi="Times New Roman"/>
          <w:i/>
          <w:color w:val="222222"/>
          <w:sz w:val="24"/>
          <w:szCs w:val="24"/>
        </w:rPr>
      </w:pPr>
      <w:r w:rsidRPr="00767A1A">
        <w:rPr>
          <w:rFonts w:ascii="Times New Roman" w:hAnsi="Times New Roman"/>
          <w:i/>
          <w:sz w:val="24"/>
          <w:szCs w:val="24"/>
        </w:rPr>
        <w:t>- Dezvoltarea căii mai integrate a problemelor calităţii apei pentru o dezvoltare durabilă.</w:t>
      </w:r>
      <w:r w:rsidRPr="00767A1A">
        <w:rPr>
          <w:rFonts w:ascii="Times New Roman" w:hAnsi="Times New Roman"/>
          <w:i/>
          <w:color w:val="222222"/>
          <w:sz w:val="24"/>
          <w:szCs w:val="24"/>
        </w:rPr>
        <w:t xml:space="preserve"> </w:t>
      </w:r>
    </w:p>
    <w:p w:rsidR="004D27DB" w:rsidRPr="00767A1A" w:rsidRDefault="004D27DB" w:rsidP="00BF3899">
      <w:pPr>
        <w:spacing w:after="120" w:line="240" w:lineRule="auto"/>
        <w:ind w:left="426"/>
        <w:jc w:val="both"/>
        <w:rPr>
          <w:rFonts w:ascii="Times New Roman" w:hAnsi="Times New Roman"/>
          <w:i/>
          <w:color w:val="222222"/>
          <w:sz w:val="24"/>
          <w:szCs w:val="24"/>
        </w:rPr>
      </w:pPr>
      <w:r w:rsidRPr="00767A1A">
        <w:rPr>
          <w:rFonts w:ascii="Times New Roman" w:hAnsi="Times New Roman"/>
          <w:i/>
          <w:color w:val="222222"/>
          <w:sz w:val="24"/>
          <w:szCs w:val="24"/>
        </w:rPr>
        <w:t>- Propunerile se vor  concentra pe apă de tranziție; cele privind sistemele marine nu vor fi eligibile.</w:t>
      </w:r>
    </w:p>
    <w:p w:rsidR="004D27DB" w:rsidRPr="00767A1A" w:rsidRDefault="004D27DB" w:rsidP="008C38C9">
      <w:pPr>
        <w:spacing w:after="120" w:line="240" w:lineRule="auto"/>
        <w:ind w:left="567" w:hanging="141"/>
        <w:jc w:val="both"/>
        <w:rPr>
          <w:rFonts w:ascii="Times New Roman" w:hAnsi="Times New Roman"/>
          <w:i/>
          <w:color w:val="222222"/>
          <w:sz w:val="24"/>
          <w:szCs w:val="24"/>
        </w:rPr>
      </w:pPr>
      <w:r w:rsidRPr="00767A1A">
        <w:rPr>
          <w:rFonts w:ascii="Times New Roman" w:hAnsi="Times New Roman"/>
          <w:i/>
          <w:color w:val="222222"/>
          <w:sz w:val="24"/>
          <w:szCs w:val="24"/>
        </w:rPr>
        <w:t xml:space="preserve">- Sectorul forestrier este de asemenea în domeniul de aplicare al cererii, ca urmare a interesului unui număr impunător al agențiilor de finanțare în acest subiect. </w:t>
      </w:r>
    </w:p>
    <w:p w:rsidR="004D27DB" w:rsidRPr="00767A1A" w:rsidRDefault="004D27DB" w:rsidP="008C38C9">
      <w:pPr>
        <w:spacing w:after="120" w:line="240" w:lineRule="auto"/>
        <w:ind w:left="567" w:hanging="141"/>
        <w:jc w:val="both"/>
        <w:rPr>
          <w:rFonts w:ascii="Times New Roman" w:hAnsi="Times New Roman"/>
          <w:i/>
          <w:color w:val="222222"/>
          <w:sz w:val="24"/>
          <w:szCs w:val="24"/>
        </w:rPr>
      </w:pPr>
      <w:r w:rsidRPr="00767A1A">
        <w:rPr>
          <w:rFonts w:ascii="Times New Roman" w:hAnsi="Times New Roman"/>
          <w:i/>
          <w:color w:val="222222"/>
          <w:sz w:val="24"/>
          <w:szCs w:val="24"/>
        </w:rPr>
        <w:t>- Apelul nu va fi restricţionat  nici pentru  sistemele de irigare. Sistemele alimentate cu apă de ploaie va fi la fel acceptate.</w:t>
      </w:r>
    </w:p>
    <w:p w:rsidR="004D27DB" w:rsidRPr="009D3844" w:rsidRDefault="004D27DB" w:rsidP="008F0925">
      <w:pPr>
        <w:autoSpaceDE w:val="0"/>
        <w:autoSpaceDN w:val="0"/>
        <w:adjustRightInd w:val="0"/>
        <w:spacing w:after="120" w:line="240" w:lineRule="auto"/>
        <w:jc w:val="both"/>
        <w:rPr>
          <w:rFonts w:ascii="Times New Roman" w:hAnsi="Times New Roman"/>
          <w:noProof w:val="0"/>
          <w:color w:val="000000"/>
          <w:sz w:val="24"/>
          <w:szCs w:val="24"/>
        </w:rPr>
      </w:pPr>
      <w:r w:rsidRPr="009D3844">
        <w:rPr>
          <w:rFonts w:ascii="Times New Roman" w:hAnsi="Times New Roman"/>
          <w:noProof w:val="0"/>
          <w:color w:val="000000"/>
          <w:sz w:val="24"/>
          <w:szCs w:val="24"/>
        </w:rPr>
        <w:t>În plus la realizarea agendelor de cercetare și inovare respective, propunerile trebuie să demonstreze clar valoare Europeană / Internaţională și potențialul de excelență științifică și /sau tehnologică.</w:t>
      </w:r>
    </w:p>
    <w:p w:rsidR="004D27DB" w:rsidRPr="009D3844" w:rsidRDefault="004D27DB" w:rsidP="00A45307">
      <w:pPr>
        <w:autoSpaceDE w:val="0"/>
        <w:autoSpaceDN w:val="0"/>
        <w:adjustRightInd w:val="0"/>
        <w:spacing w:after="120" w:line="240" w:lineRule="auto"/>
        <w:jc w:val="both"/>
        <w:rPr>
          <w:rFonts w:ascii="Times New Roman" w:hAnsi="Times New Roman"/>
          <w:noProof w:val="0"/>
          <w:color w:val="000000"/>
          <w:sz w:val="24"/>
          <w:szCs w:val="24"/>
        </w:rPr>
      </w:pPr>
      <w:r w:rsidRPr="009D3844">
        <w:rPr>
          <w:rFonts w:ascii="Times New Roman" w:hAnsi="Times New Roman"/>
          <w:bCs/>
          <w:sz w:val="24"/>
          <w:szCs w:val="24"/>
        </w:rPr>
        <w:t xml:space="preserve">Echipele de cercetare care vor aplica pentru finanţare se vor supune criteriilor de eligibilitate naţionale, specifice ţărilor din care fac parte. La concurs pot participa doar echipe de cercetare din organizaţii de cercetare acreditate (universităţi, institute de cercetare,etc.) </w:t>
      </w:r>
      <w:r w:rsidR="0076695B" w:rsidRPr="003347C0">
        <w:rPr>
          <w:rFonts w:ascii="Times New Roman" w:hAnsi="Times New Roman"/>
          <w:sz w:val="24"/>
          <w:szCs w:val="24"/>
          <w:lang w:val="it-IT"/>
        </w:rPr>
        <w:t>acreditate în domeniul ştiinţei</w:t>
      </w:r>
      <w:r w:rsidRPr="003347C0">
        <w:rPr>
          <w:rFonts w:ascii="Times New Roman" w:hAnsi="Times New Roman"/>
          <w:bCs/>
          <w:sz w:val="24"/>
          <w:szCs w:val="24"/>
        </w:rPr>
        <w:t>.</w:t>
      </w:r>
      <w:r w:rsidRPr="009D3844">
        <w:rPr>
          <w:rFonts w:ascii="Times New Roman" w:hAnsi="Times New Roman"/>
          <w:bCs/>
          <w:sz w:val="24"/>
          <w:szCs w:val="24"/>
        </w:rPr>
        <w:t xml:space="preserve"> Fiecare consorţiu trebuie să cuprindă cel puţin 3 echipe de cercetare, din minimum 3 ţări participante la apel meţionate </w:t>
      </w:r>
      <w:r w:rsidR="001135D1">
        <w:rPr>
          <w:rFonts w:ascii="Times New Roman" w:hAnsi="Times New Roman"/>
          <w:bCs/>
          <w:sz w:val="24"/>
          <w:szCs w:val="24"/>
        </w:rPr>
        <w:t>in ataşament</w:t>
      </w:r>
      <w:r w:rsidRPr="009D3844">
        <w:rPr>
          <w:rFonts w:ascii="Times New Roman" w:hAnsi="Times New Roman"/>
          <w:bCs/>
          <w:sz w:val="24"/>
          <w:szCs w:val="24"/>
        </w:rPr>
        <w:t>.</w:t>
      </w:r>
    </w:p>
    <w:p w:rsidR="009D3844" w:rsidRPr="009D3844" w:rsidRDefault="009D3844" w:rsidP="00A45307">
      <w:pPr>
        <w:spacing w:after="120" w:line="240" w:lineRule="auto"/>
        <w:rPr>
          <w:rFonts w:ascii="Times New Roman" w:hAnsi="Times New Roman"/>
          <w:b/>
          <w:sz w:val="24"/>
          <w:szCs w:val="24"/>
        </w:rPr>
      </w:pPr>
      <w:r w:rsidRPr="009D3844">
        <w:rPr>
          <w:rFonts w:ascii="Times New Roman" w:hAnsi="Times New Roman"/>
          <w:sz w:val="24"/>
          <w:szCs w:val="24"/>
        </w:rPr>
        <w:t xml:space="preserve">Apelul de concurs multilateral va fi lansat pe data de </w:t>
      </w:r>
      <w:r w:rsidRPr="009D3844">
        <w:rPr>
          <w:rFonts w:ascii="Times New Roman" w:hAnsi="Times New Roman"/>
          <w:b/>
          <w:bCs/>
          <w:sz w:val="24"/>
          <w:szCs w:val="24"/>
        </w:rPr>
        <w:t xml:space="preserve">15 </w:t>
      </w:r>
      <w:r w:rsidRPr="009D3844">
        <w:rPr>
          <w:rFonts w:ascii="Times New Roman" w:hAnsi="Times New Roman"/>
          <w:b/>
          <w:sz w:val="24"/>
          <w:szCs w:val="24"/>
        </w:rPr>
        <w:t>februarie 2016</w:t>
      </w:r>
      <w:r w:rsidR="00A45307">
        <w:rPr>
          <w:rFonts w:ascii="Times New Roman" w:hAnsi="Times New Roman"/>
          <w:b/>
          <w:sz w:val="24"/>
          <w:szCs w:val="24"/>
        </w:rPr>
        <w:t>.</w:t>
      </w:r>
    </w:p>
    <w:p w:rsidR="00A45307" w:rsidRDefault="004D27DB" w:rsidP="00A45307">
      <w:pPr>
        <w:spacing w:after="120" w:line="240" w:lineRule="auto"/>
        <w:rPr>
          <w:rFonts w:ascii="Times New Roman" w:hAnsi="Times New Roman"/>
          <w:sz w:val="24"/>
          <w:szCs w:val="24"/>
        </w:rPr>
      </w:pPr>
      <w:r w:rsidRPr="009D3844">
        <w:rPr>
          <w:rFonts w:ascii="Times New Roman" w:hAnsi="Times New Roman"/>
          <w:sz w:val="24"/>
          <w:szCs w:val="24"/>
        </w:rPr>
        <w:t xml:space="preserve">Depunerea propunerilor de proiecte se va face </w:t>
      </w:r>
      <w:r w:rsidRPr="009D3844">
        <w:rPr>
          <w:rFonts w:ascii="Times New Roman" w:hAnsi="Times New Roman"/>
          <w:b/>
          <w:sz w:val="24"/>
          <w:szCs w:val="24"/>
        </w:rPr>
        <w:t>în 2 etape</w:t>
      </w:r>
      <w:r w:rsidRPr="009D3844">
        <w:rPr>
          <w:rFonts w:ascii="Times New Roman" w:hAnsi="Times New Roman"/>
          <w:sz w:val="24"/>
          <w:szCs w:val="24"/>
        </w:rPr>
        <w:t xml:space="preserve">.  </w:t>
      </w:r>
    </w:p>
    <w:p w:rsidR="00466744" w:rsidRDefault="004D27DB" w:rsidP="00A45307">
      <w:pPr>
        <w:spacing w:after="120" w:line="240" w:lineRule="auto"/>
        <w:rPr>
          <w:rFonts w:ascii="Times New Roman" w:hAnsi="Times New Roman"/>
          <w:sz w:val="24"/>
          <w:szCs w:val="24"/>
        </w:rPr>
      </w:pPr>
      <w:r w:rsidRPr="009D3844">
        <w:rPr>
          <w:rFonts w:ascii="Times New Roman" w:hAnsi="Times New Roman"/>
          <w:sz w:val="24"/>
          <w:szCs w:val="24"/>
        </w:rPr>
        <w:lastRenderedPageBreak/>
        <w:t xml:space="preserve">Termenul-limită pentru depunerea pre-propunerilor de proiecte (conceptului)  este </w:t>
      </w:r>
      <w:r w:rsidRPr="009D3844">
        <w:rPr>
          <w:rFonts w:ascii="Times New Roman" w:hAnsi="Times New Roman"/>
          <w:b/>
          <w:bCs/>
          <w:i/>
          <w:iCs/>
          <w:sz w:val="24"/>
          <w:szCs w:val="24"/>
        </w:rPr>
        <w:t>19 aprilie 2016</w:t>
      </w:r>
      <w:r w:rsidRPr="009D3844">
        <w:rPr>
          <w:rFonts w:ascii="Times New Roman" w:hAnsi="Times New Roman"/>
          <w:sz w:val="24"/>
          <w:szCs w:val="24"/>
        </w:rPr>
        <w:t xml:space="preserve">, iar termenul-limită pentru depunrea propunerilor de proiecte este </w:t>
      </w:r>
      <w:r w:rsidRPr="009D3844">
        <w:rPr>
          <w:rFonts w:ascii="Times New Roman" w:hAnsi="Times New Roman"/>
          <w:b/>
          <w:bCs/>
          <w:sz w:val="24"/>
          <w:szCs w:val="24"/>
        </w:rPr>
        <w:t>15 septembrie 2016</w:t>
      </w:r>
      <w:r w:rsidRPr="009D3844">
        <w:rPr>
          <w:rFonts w:ascii="Times New Roman" w:hAnsi="Times New Roman"/>
          <w:sz w:val="24"/>
          <w:szCs w:val="24"/>
        </w:rPr>
        <w:t xml:space="preserve">.  </w:t>
      </w:r>
    </w:p>
    <w:p w:rsidR="00466744" w:rsidRDefault="004D27DB" w:rsidP="00A45307">
      <w:pPr>
        <w:spacing w:after="120" w:line="240" w:lineRule="auto"/>
        <w:rPr>
          <w:rFonts w:ascii="Times New Roman" w:hAnsi="Times New Roman"/>
          <w:b/>
          <w:bCs/>
          <w:sz w:val="24"/>
          <w:szCs w:val="24"/>
        </w:rPr>
      </w:pPr>
      <w:r w:rsidRPr="009D3844">
        <w:rPr>
          <w:rFonts w:ascii="Times New Roman" w:hAnsi="Times New Roman"/>
          <w:sz w:val="24"/>
          <w:szCs w:val="24"/>
        </w:rPr>
        <w:t xml:space="preserve">Notificarea aplicanţilor privind rezultatele asupra propunerilor de proiect va fi în </w:t>
      </w:r>
      <w:r w:rsidRPr="009D3844">
        <w:rPr>
          <w:rFonts w:ascii="Times New Roman" w:hAnsi="Times New Roman"/>
          <w:b/>
          <w:bCs/>
          <w:sz w:val="24"/>
          <w:szCs w:val="24"/>
        </w:rPr>
        <w:t xml:space="preserve">noiembrie 2016. </w:t>
      </w:r>
    </w:p>
    <w:p w:rsidR="004D27DB" w:rsidRPr="009D3844" w:rsidRDefault="004D27DB" w:rsidP="00A45307">
      <w:pPr>
        <w:spacing w:after="120" w:line="240" w:lineRule="auto"/>
        <w:rPr>
          <w:rFonts w:ascii="Times New Roman" w:hAnsi="Times New Roman"/>
          <w:sz w:val="24"/>
          <w:szCs w:val="24"/>
        </w:rPr>
      </w:pPr>
      <w:r w:rsidRPr="00BF0A32">
        <w:rPr>
          <w:rFonts w:ascii="Times New Roman" w:hAnsi="Times New Roman"/>
          <w:bCs/>
          <w:sz w:val="24"/>
          <w:szCs w:val="24"/>
        </w:rPr>
        <w:t>Începutul finanţării proiectelor va fi din</w:t>
      </w:r>
      <w:r w:rsidRPr="009D3844">
        <w:rPr>
          <w:rFonts w:ascii="Times New Roman" w:hAnsi="Times New Roman"/>
          <w:b/>
          <w:bCs/>
          <w:sz w:val="24"/>
          <w:szCs w:val="24"/>
        </w:rPr>
        <w:t xml:space="preserve"> martie-aprilie 2017.</w:t>
      </w:r>
    </w:p>
    <w:p w:rsidR="00EA7077" w:rsidRDefault="004D27DB" w:rsidP="00A45307">
      <w:pPr>
        <w:spacing w:after="120" w:line="240" w:lineRule="auto"/>
        <w:rPr>
          <w:rFonts w:ascii="Times New Roman" w:hAnsi="Times New Roman"/>
          <w:sz w:val="24"/>
          <w:szCs w:val="24"/>
        </w:rPr>
      </w:pPr>
      <w:r w:rsidRPr="009D3844">
        <w:rPr>
          <w:rFonts w:ascii="Times New Roman" w:hAnsi="Times New Roman"/>
          <w:sz w:val="24"/>
          <w:szCs w:val="24"/>
        </w:rPr>
        <w:t>Informaţia mai detaliata este în  documentul oficial al apelului  de concurs,  care urmează a fi publicat suplimentar</w:t>
      </w:r>
      <w:r w:rsidR="003347C0">
        <w:rPr>
          <w:rFonts w:ascii="Times New Roman" w:hAnsi="Times New Roman"/>
          <w:sz w:val="24"/>
          <w:szCs w:val="24"/>
        </w:rPr>
        <w:t xml:space="preserve"> pe site-urile: </w:t>
      </w:r>
      <w:hyperlink r:id="rId6" w:history="1">
        <w:r w:rsidR="003347C0" w:rsidRPr="00796DC4">
          <w:rPr>
            <w:rStyle w:val="Hyperlink"/>
            <w:rFonts w:ascii="Times New Roman" w:hAnsi="Times New Roman"/>
            <w:sz w:val="24"/>
            <w:szCs w:val="24"/>
          </w:rPr>
          <w:t>http://cpi.asm.md/?page_id=6669&amp;lang=en</w:t>
        </w:r>
      </w:hyperlink>
      <w:r w:rsidR="003347C0">
        <w:rPr>
          <w:rFonts w:ascii="Times New Roman" w:hAnsi="Times New Roman"/>
          <w:sz w:val="24"/>
          <w:szCs w:val="24"/>
        </w:rPr>
        <w:t xml:space="preserve">  și</w:t>
      </w:r>
      <w:r w:rsidR="003347C0" w:rsidRPr="003347C0">
        <w:rPr>
          <w:rFonts w:ascii="Times New Roman" w:hAnsi="Times New Roman"/>
          <w:sz w:val="24"/>
          <w:szCs w:val="24"/>
        </w:rPr>
        <w:t xml:space="preserve"> </w:t>
      </w:r>
      <w:r w:rsidR="003347C0">
        <w:rPr>
          <w:rFonts w:ascii="Times New Roman" w:hAnsi="Times New Roman"/>
          <w:sz w:val="24"/>
          <w:szCs w:val="24"/>
        </w:rPr>
        <w:t xml:space="preserve"> </w:t>
      </w:r>
      <w:hyperlink r:id="rId7" w:history="1">
        <w:r w:rsidR="003347C0" w:rsidRPr="00796DC4">
          <w:rPr>
            <w:rStyle w:val="Hyperlink"/>
            <w:rFonts w:ascii="Times New Roman" w:hAnsi="Times New Roman"/>
            <w:sz w:val="24"/>
            <w:szCs w:val="24"/>
          </w:rPr>
          <w:t>http://www.waterjpi.eu/index.php?option=co</w:t>
        </w:r>
        <w:r w:rsidR="003347C0" w:rsidRPr="00796DC4">
          <w:rPr>
            <w:rStyle w:val="Hyperlink"/>
            <w:rFonts w:ascii="Times New Roman" w:hAnsi="Times New Roman"/>
            <w:sz w:val="24"/>
            <w:szCs w:val="24"/>
          </w:rPr>
          <w:t>m</w:t>
        </w:r>
        <w:r w:rsidR="003347C0" w:rsidRPr="00796DC4">
          <w:rPr>
            <w:rStyle w:val="Hyperlink"/>
            <w:rFonts w:ascii="Times New Roman" w:hAnsi="Times New Roman"/>
            <w:sz w:val="24"/>
            <w:szCs w:val="24"/>
          </w:rPr>
          <w:t>_content&amp;view=article&amp;id=202&amp;Itemid=682</w:t>
        </w:r>
      </w:hyperlink>
      <w:r w:rsidR="003347C0">
        <w:rPr>
          <w:rFonts w:ascii="Times New Roman" w:hAnsi="Times New Roman"/>
          <w:sz w:val="24"/>
          <w:szCs w:val="24"/>
        </w:rPr>
        <w:t xml:space="preserve"> </w:t>
      </w:r>
      <w:r w:rsidRPr="009D3844">
        <w:rPr>
          <w:rFonts w:ascii="Times New Roman" w:hAnsi="Times New Roman"/>
          <w:sz w:val="24"/>
          <w:szCs w:val="24"/>
        </w:rPr>
        <w:t xml:space="preserve">. </w:t>
      </w:r>
    </w:p>
    <w:p w:rsidR="004D27DB" w:rsidRPr="009D3844" w:rsidRDefault="008161A1" w:rsidP="00A45307">
      <w:pPr>
        <w:spacing w:after="120" w:line="240" w:lineRule="auto"/>
        <w:rPr>
          <w:rFonts w:ascii="Times New Roman" w:hAnsi="Times New Roman"/>
          <w:sz w:val="24"/>
          <w:szCs w:val="24"/>
        </w:rPr>
      </w:pPr>
      <w:r>
        <w:rPr>
          <w:rFonts w:ascii="Times New Roman" w:hAnsi="Times New Roman"/>
          <w:sz w:val="24"/>
          <w:szCs w:val="24"/>
        </w:rPr>
        <w:t>Telefon de contact: 022 274534, 022 271671.</w:t>
      </w:r>
    </w:p>
    <w:p w:rsidR="004D27DB" w:rsidRPr="009D3844" w:rsidRDefault="004D27DB" w:rsidP="0062372C">
      <w:pPr>
        <w:rPr>
          <w:rFonts w:ascii="Times New Roman" w:hAnsi="Times New Roman"/>
          <w:sz w:val="24"/>
          <w:szCs w:val="24"/>
        </w:rPr>
      </w:pPr>
    </w:p>
    <w:p w:rsidR="004D27DB" w:rsidRPr="009D3844" w:rsidRDefault="004D27DB">
      <w:pPr>
        <w:rPr>
          <w:rFonts w:ascii="Times New Roman" w:hAnsi="Times New Roman"/>
          <w:color w:val="1F497D"/>
          <w:sz w:val="24"/>
          <w:szCs w:val="24"/>
          <w:lang w:val="pt-BR" w:eastAsia="en-US"/>
        </w:rPr>
      </w:pPr>
      <w:bookmarkStart w:id="0" w:name="_GoBack"/>
      <w:bookmarkEnd w:id="0"/>
    </w:p>
    <w:p w:rsidR="004D27DB" w:rsidRPr="009D3844" w:rsidRDefault="004D27DB">
      <w:pPr>
        <w:rPr>
          <w:rFonts w:ascii="Times New Roman" w:hAnsi="Times New Roman"/>
          <w:color w:val="1F497D"/>
          <w:sz w:val="24"/>
          <w:szCs w:val="24"/>
          <w:lang w:val="pt-BR" w:eastAsia="en-US"/>
        </w:rPr>
      </w:pPr>
    </w:p>
    <w:sectPr w:rsidR="004D27DB" w:rsidRPr="009D3844" w:rsidSect="00C11FDF">
      <w:pgSz w:w="12240" w:h="15840"/>
      <w:pgMar w:top="1440" w:right="90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C3EB8"/>
    <w:multiLevelType w:val="hybridMultilevel"/>
    <w:tmpl w:val="4800BDCE"/>
    <w:lvl w:ilvl="0" w:tplc="865A913C">
      <w:start w:val="1"/>
      <w:numFmt w:val="bullet"/>
      <w:lvlText w:val="-"/>
      <w:lvlJc w:val="left"/>
      <w:pPr>
        <w:tabs>
          <w:tab w:val="num" w:pos="435"/>
        </w:tabs>
        <w:ind w:left="435" w:hanging="360"/>
      </w:pPr>
      <w:rPr>
        <w:rFonts w:ascii="Times New Roman" w:eastAsia="SimSun" w:hAnsi="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
    <w:nsid w:val="67FB4D3D"/>
    <w:multiLevelType w:val="hybridMultilevel"/>
    <w:tmpl w:val="1D42C874"/>
    <w:lvl w:ilvl="0" w:tplc="6FBABE5A">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2917044"/>
    <w:multiLevelType w:val="hybridMultilevel"/>
    <w:tmpl w:val="6EDC4BEC"/>
    <w:lvl w:ilvl="0" w:tplc="08160001">
      <w:start w:val="1"/>
      <w:numFmt w:val="bullet"/>
      <w:lvlText w:val=""/>
      <w:lvlJc w:val="left"/>
      <w:pPr>
        <w:ind w:left="152" w:hanging="360"/>
      </w:pPr>
      <w:rPr>
        <w:rFonts w:ascii="Symbol" w:hAnsi="Symbol" w:hint="default"/>
      </w:rPr>
    </w:lvl>
    <w:lvl w:ilvl="1" w:tplc="08160003" w:tentative="1">
      <w:start w:val="1"/>
      <w:numFmt w:val="bullet"/>
      <w:lvlText w:val="o"/>
      <w:lvlJc w:val="left"/>
      <w:pPr>
        <w:ind w:left="872" w:hanging="360"/>
      </w:pPr>
      <w:rPr>
        <w:rFonts w:ascii="Courier New" w:hAnsi="Courier New" w:hint="default"/>
      </w:rPr>
    </w:lvl>
    <w:lvl w:ilvl="2" w:tplc="08160005" w:tentative="1">
      <w:start w:val="1"/>
      <w:numFmt w:val="bullet"/>
      <w:lvlText w:val=""/>
      <w:lvlJc w:val="left"/>
      <w:pPr>
        <w:ind w:left="1592" w:hanging="360"/>
      </w:pPr>
      <w:rPr>
        <w:rFonts w:ascii="Wingdings" w:hAnsi="Wingdings" w:hint="default"/>
      </w:rPr>
    </w:lvl>
    <w:lvl w:ilvl="3" w:tplc="08160001" w:tentative="1">
      <w:start w:val="1"/>
      <w:numFmt w:val="bullet"/>
      <w:lvlText w:val=""/>
      <w:lvlJc w:val="left"/>
      <w:pPr>
        <w:ind w:left="2312" w:hanging="360"/>
      </w:pPr>
      <w:rPr>
        <w:rFonts w:ascii="Symbol" w:hAnsi="Symbol" w:hint="default"/>
      </w:rPr>
    </w:lvl>
    <w:lvl w:ilvl="4" w:tplc="08160003" w:tentative="1">
      <w:start w:val="1"/>
      <w:numFmt w:val="bullet"/>
      <w:lvlText w:val="o"/>
      <w:lvlJc w:val="left"/>
      <w:pPr>
        <w:ind w:left="3032" w:hanging="360"/>
      </w:pPr>
      <w:rPr>
        <w:rFonts w:ascii="Courier New" w:hAnsi="Courier New" w:hint="default"/>
      </w:rPr>
    </w:lvl>
    <w:lvl w:ilvl="5" w:tplc="08160005" w:tentative="1">
      <w:start w:val="1"/>
      <w:numFmt w:val="bullet"/>
      <w:lvlText w:val=""/>
      <w:lvlJc w:val="left"/>
      <w:pPr>
        <w:ind w:left="3752" w:hanging="360"/>
      </w:pPr>
      <w:rPr>
        <w:rFonts w:ascii="Wingdings" w:hAnsi="Wingdings" w:hint="default"/>
      </w:rPr>
    </w:lvl>
    <w:lvl w:ilvl="6" w:tplc="08160001" w:tentative="1">
      <w:start w:val="1"/>
      <w:numFmt w:val="bullet"/>
      <w:lvlText w:val=""/>
      <w:lvlJc w:val="left"/>
      <w:pPr>
        <w:ind w:left="4472" w:hanging="360"/>
      </w:pPr>
      <w:rPr>
        <w:rFonts w:ascii="Symbol" w:hAnsi="Symbol" w:hint="default"/>
      </w:rPr>
    </w:lvl>
    <w:lvl w:ilvl="7" w:tplc="08160003" w:tentative="1">
      <w:start w:val="1"/>
      <w:numFmt w:val="bullet"/>
      <w:lvlText w:val="o"/>
      <w:lvlJc w:val="left"/>
      <w:pPr>
        <w:ind w:left="5192" w:hanging="360"/>
      </w:pPr>
      <w:rPr>
        <w:rFonts w:ascii="Courier New" w:hAnsi="Courier New" w:hint="default"/>
      </w:rPr>
    </w:lvl>
    <w:lvl w:ilvl="8" w:tplc="08160005" w:tentative="1">
      <w:start w:val="1"/>
      <w:numFmt w:val="bullet"/>
      <w:lvlText w:val=""/>
      <w:lvlJc w:val="left"/>
      <w:pPr>
        <w:ind w:left="5912"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8A3"/>
    <w:rsid w:val="000426D3"/>
    <w:rsid w:val="00080520"/>
    <w:rsid w:val="000F55D0"/>
    <w:rsid w:val="001135D1"/>
    <w:rsid w:val="001163F7"/>
    <w:rsid w:val="001176D7"/>
    <w:rsid w:val="00182C67"/>
    <w:rsid w:val="001962CA"/>
    <w:rsid w:val="00251534"/>
    <w:rsid w:val="002765ED"/>
    <w:rsid w:val="00326D8C"/>
    <w:rsid w:val="003347C0"/>
    <w:rsid w:val="00371E0D"/>
    <w:rsid w:val="003B124A"/>
    <w:rsid w:val="003F169A"/>
    <w:rsid w:val="003F1FBB"/>
    <w:rsid w:val="004073E6"/>
    <w:rsid w:val="004416FC"/>
    <w:rsid w:val="00466744"/>
    <w:rsid w:val="004B690D"/>
    <w:rsid w:val="004D27DB"/>
    <w:rsid w:val="004D4163"/>
    <w:rsid w:val="004F43E9"/>
    <w:rsid w:val="005D0BB8"/>
    <w:rsid w:val="005E5A4A"/>
    <w:rsid w:val="0062372C"/>
    <w:rsid w:val="006868A3"/>
    <w:rsid w:val="006E404D"/>
    <w:rsid w:val="00732866"/>
    <w:rsid w:val="00742234"/>
    <w:rsid w:val="007571A5"/>
    <w:rsid w:val="0076695B"/>
    <w:rsid w:val="00767A1A"/>
    <w:rsid w:val="008161A1"/>
    <w:rsid w:val="008473C0"/>
    <w:rsid w:val="008C38C9"/>
    <w:rsid w:val="008F0925"/>
    <w:rsid w:val="009D3844"/>
    <w:rsid w:val="009E6EC2"/>
    <w:rsid w:val="00A45307"/>
    <w:rsid w:val="00A47052"/>
    <w:rsid w:val="00A62BAA"/>
    <w:rsid w:val="00AA0DA8"/>
    <w:rsid w:val="00AB5D09"/>
    <w:rsid w:val="00AC6109"/>
    <w:rsid w:val="00AC7CEA"/>
    <w:rsid w:val="00B24420"/>
    <w:rsid w:val="00B543F4"/>
    <w:rsid w:val="00B80F25"/>
    <w:rsid w:val="00B94670"/>
    <w:rsid w:val="00BB235C"/>
    <w:rsid w:val="00BC748D"/>
    <w:rsid w:val="00BD3C4F"/>
    <w:rsid w:val="00BF0A32"/>
    <w:rsid w:val="00BF3899"/>
    <w:rsid w:val="00BF40BB"/>
    <w:rsid w:val="00C11FDF"/>
    <w:rsid w:val="00D873BA"/>
    <w:rsid w:val="00DB4E85"/>
    <w:rsid w:val="00DC168D"/>
    <w:rsid w:val="00E81ADC"/>
    <w:rsid w:val="00EA664C"/>
    <w:rsid w:val="00EA7077"/>
    <w:rsid w:val="00F123A0"/>
    <w:rsid w:val="00F26576"/>
    <w:rsid w:val="00F34D8B"/>
    <w:rsid w:val="00FA60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3E9"/>
    <w:pPr>
      <w:spacing w:after="200" w:line="276" w:lineRule="auto"/>
    </w:pPr>
    <w:rPr>
      <w:noProof/>
      <w:sz w:val="22"/>
      <w:szCs w:val="22"/>
      <w:lang w:val="ro-R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868A3"/>
    <w:pPr>
      <w:autoSpaceDE w:val="0"/>
      <w:autoSpaceDN w:val="0"/>
      <w:adjustRightInd w:val="0"/>
    </w:pPr>
    <w:rPr>
      <w:rFonts w:ascii="Gill Sans MT" w:hAnsi="Gill Sans MT" w:cs="Gill Sans MT"/>
      <w:color w:val="000000"/>
      <w:sz w:val="24"/>
      <w:szCs w:val="24"/>
      <w:lang w:eastAsia="zh-CN"/>
    </w:rPr>
  </w:style>
  <w:style w:type="paragraph" w:styleId="ListParagraph">
    <w:name w:val="List Paragraph"/>
    <w:basedOn w:val="Normal"/>
    <w:uiPriority w:val="99"/>
    <w:qFormat/>
    <w:rsid w:val="006868A3"/>
    <w:pPr>
      <w:ind w:left="720"/>
      <w:contextualSpacing/>
    </w:pPr>
    <w:rPr>
      <w:noProof w:val="0"/>
      <w:lang w:val="pt-PT" w:eastAsia="en-US"/>
    </w:rPr>
  </w:style>
  <w:style w:type="paragraph" w:styleId="BalloonText">
    <w:name w:val="Balloon Text"/>
    <w:basedOn w:val="Normal"/>
    <w:link w:val="BalloonTextChar"/>
    <w:uiPriority w:val="99"/>
    <w:semiHidden/>
    <w:rsid w:val="00326D8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26D8C"/>
    <w:rPr>
      <w:rFonts w:ascii="Tahoma" w:hAnsi="Tahoma" w:cs="Tahoma"/>
      <w:noProof/>
      <w:sz w:val="16"/>
      <w:szCs w:val="16"/>
      <w:lang w:val="ro-RO"/>
    </w:rPr>
  </w:style>
  <w:style w:type="character" w:styleId="Hyperlink">
    <w:name w:val="Hyperlink"/>
    <w:uiPriority w:val="99"/>
    <w:unhideWhenUsed/>
    <w:rsid w:val="003347C0"/>
    <w:rPr>
      <w:color w:val="0000FF"/>
      <w:u w:val="single"/>
    </w:rPr>
  </w:style>
  <w:style w:type="character" w:styleId="FollowedHyperlink">
    <w:name w:val="FollowedHyperlink"/>
    <w:basedOn w:val="DefaultParagraphFont"/>
    <w:uiPriority w:val="99"/>
    <w:semiHidden/>
    <w:unhideWhenUsed/>
    <w:rsid w:val="001135D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3E9"/>
    <w:pPr>
      <w:spacing w:after="200" w:line="276" w:lineRule="auto"/>
    </w:pPr>
    <w:rPr>
      <w:noProof/>
      <w:sz w:val="22"/>
      <w:szCs w:val="22"/>
      <w:lang w:val="ro-R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868A3"/>
    <w:pPr>
      <w:autoSpaceDE w:val="0"/>
      <w:autoSpaceDN w:val="0"/>
      <w:adjustRightInd w:val="0"/>
    </w:pPr>
    <w:rPr>
      <w:rFonts w:ascii="Gill Sans MT" w:hAnsi="Gill Sans MT" w:cs="Gill Sans MT"/>
      <w:color w:val="000000"/>
      <w:sz w:val="24"/>
      <w:szCs w:val="24"/>
      <w:lang w:eastAsia="zh-CN"/>
    </w:rPr>
  </w:style>
  <w:style w:type="paragraph" w:styleId="ListParagraph">
    <w:name w:val="List Paragraph"/>
    <w:basedOn w:val="Normal"/>
    <w:uiPriority w:val="99"/>
    <w:qFormat/>
    <w:rsid w:val="006868A3"/>
    <w:pPr>
      <w:ind w:left="720"/>
      <w:contextualSpacing/>
    </w:pPr>
    <w:rPr>
      <w:noProof w:val="0"/>
      <w:lang w:val="pt-PT" w:eastAsia="en-US"/>
    </w:rPr>
  </w:style>
  <w:style w:type="paragraph" w:styleId="BalloonText">
    <w:name w:val="Balloon Text"/>
    <w:basedOn w:val="Normal"/>
    <w:link w:val="BalloonTextChar"/>
    <w:uiPriority w:val="99"/>
    <w:semiHidden/>
    <w:rsid w:val="00326D8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26D8C"/>
    <w:rPr>
      <w:rFonts w:ascii="Tahoma" w:hAnsi="Tahoma" w:cs="Tahoma"/>
      <w:noProof/>
      <w:sz w:val="16"/>
      <w:szCs w:val="16"/>
      <w:lang w:val="ro-RO"/>
    </w:rPr>
  </w:style>
  <w:style w:type="character" w:styleId="Hyperlink">
    <w:name w:val="Hyperlink"/>
    <w:uiPriority w:val="99"/>
    <w:unhideWhenUsed/>
    <w:rsid w:val="003347C0"/>
    <w:rPr>
      <w:color w:val="0000FF"/>
      <w:u w:val="single"/>
    </w:rPr>
  </w:style>
  <w:style w:type="character" w:styleId="FollowedHyperlink">
    <w:name w:val="FollowedHyperlink"/>
    <w:basedOn w:val="DefaultParagraphFont"/>
    <w:uiPriority w:val="99"/>
    <w:semiHidden/>
    <w:unhideWhenUsed/>
    <w:rsid w:val="001135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aterjpi.eu/index.php?option=com_content&amp;view=article&amp;id=202&amp;Itemid=6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pi.asm.md/?page_id=6669&amp;lang=e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WaterWorks2015 ERA-NET cofound  “Sustainable management of water resources in agriculture, forestry and freshwater aquaculture sectors”</vt:lpstr>
    </vt:vector>
  </TitlesOfParts>
  <Company>CtrlSoft</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WaterWorks2015 ERA-NET cofound  “Sustainable management of water resources in agriculture, forestry and freshwater aquaculture sectors”</dc:title>
  <dc:creator>Silvia</dc:creator>
  <cp:lastModifiedBy>Silvia</cp:lastModifiedBy>
  <cp:revision>3</cp:revision>
  <cp:lastPrinted>2016-01-21T13:37:00Z</cp:lastPrinted>
  <dcterms:created xsi:type="dcterms:W3CDTF">2016-02-02T09:51:00Z</dcterms:created>
  <dcterms:modified xsi:type="dcterms:W3CDTF">2016-02-02T10:00:00Z</dcterms:modified>
</cp:coreProperties>
</file>