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BB6" w:rsidRDefault="00C863B6">
      <w:pPr>
        <w:jc w:val="center"/>
        <w:rPr>
          <w:b/>
        </w:rPr>
      </w:pPr>
      <w:r>
        <w:rPr>
          <w:b/>
        </w:rPr>
        <w:t>Project Partner Search Form - CALL Η2020</w:t>
      </w:r>
    </w:p>
    <w:p w:rsidR="00B44BB6" w:rsidRDefault="00B44BB6">
      <w:pPr>
        <w:spacing w:after="80"/>
      </w:pPr>
    </w:p>
    <w:p w:rsidR="00B44BB6" w:rsidRDefault="00C863B6">
      <w:pPr>
        <w:spacing w:after="80"/>
      </w:pPr>
      <w:r>
        <w:rPr>
          <w:rFonts w:ascii="MS Gothic" w:eastAsia="MS Gothic" w:hAnsi="MS Gothic" w:cs="MS Gothic"/>
        </w:rPr>
        <w:t>☒</w:t>
      </w:r>
      <w:r>
        <w:t xml:space="preserve"> I offer my expertise to participate as a Partner in a H2020 Project </w:t>
      </w:r>
    </w:p>
    <w:p w:rsidR="00B44BB6" w:rsidRDefault="00C863B6">
      <w:pPr>
        <w:spacing w:after="80"/>
      </w:pPr>
      <w:r>
        <w:rPr>
          <w:rFonts w:ascii="MS Gothic" w:eastAsia="MS Gothic" w:hAnsi="MS Gothic" w:cs="MS Gothic"/>
        </w:rPr>
        <w:t>☐</w:t>
      </w:r>
      <w:r>
        <w:t xml:space="preserve"> I am planning to coordinate a project and I am looking for Project Partners </w:t>
      </w:r>
    </w:p>
    <w:p w:rsidR="00B44BB6" w:rsidRDefault="00B44BB6">
      <w:pPr>
        <w:spacing w:after="80"/>
      </w:pPr>
    </w:p>
    <w:p w:rsidR="00B44BB6" w:rsidRDefault="00C863B6">
      <w:pPr>
        <w:pBdr>
          <w:top w:val="single" w:sz="4" w:space="1" w:color="000000"/>
          <w:left w:val="single" w:sz="4" w:space="4" w:color="000000"/>
          <w:bottom w:val="single" w:sz="4" w:space="1" w:color="000000"/>
          <w:right w:val="single" w:sz="4" w:space="4" w:color="000000"/>
        </w:pBdr>
        <w:shd w:val="clear" w:color="auto" w:fill="E6E6E6"/>
        <w:spacing w:after="80"/>
        <w:jc w:val="center"/>
        <w:rPr>
          <w:b/>
        </w:rPr>
      </w:pPr>
      <w:r>
        <w:rPr>
          <w:b/>
        </w:rPr>
        <w:t>TOPICS OF INTEREST</w:t>
      </w:r>
    </w:p>
    <w:p w:rsidR="00B44BB6" w:rsidRDefault="00B44BB6">
      <w:pPr>
        <w:spacing w:after="80"/>
      </w:pPr>
    </w:p>
    <w:p w:rsidR="00B44BB6" w:rsidRDefault="00C863B6">
      <w:pPr>
        <w:spacing w:after="80"/>
      </w:pPr>
      <w:r>
        <w:rPr>
          <w:b/>
        </w:rPr>
        <w:t>Green Deal call area 10</w:t>
      </w:r>
      <w:r>
        <w:t xml:space="preserve">: empowering citizens for the transition towards a climate neutral, sustainable Europe &gt; </w:t>
      </w:r>
      <w:r>
        <w:rPr>
          <w:b/>
        </w:rPr>
        <w:t>Topic 2:</w:t>
      </w:r>
      <w:r>
        <w:t xml:space="preserve"> </w:t>
      </w:r>
      <w:proofErr w:type="spellStart"/>
      <w:r>
        <w:rPr>
          <w:b/>
        </w:rPr>
        <w:t>Behavioural</w:t>
      </w:r>
      <w:proofErr w:type="spellEnd"/>
      <w:r>
        <w:rPr>
          <w:b/>
        </w:rPr>
        <w:t>, social and cultural change for the Green Deal</w:t>
      </w:r>
    </w:p>
    <w:p w:rsidR="00B44BB6" w:rsidRDefault="00B44BB6">
      <w:pPr>
        <w:spacing w:after="80"/>
      </w:pPr>
    </w:p>
    <w:p w:rsidR="00B44BB6" w:rsidRDefault="00C863B6">
      <w:pPr>
        <w:pBdr>
          <w:top w:val="single" w:sz="4" w:space="1" w:color="000000"/>
          <w:left w:val="single" w:sz="4" w:space="4" w:color="000000"/>
          <w:bottom w:val="single" w:sz="4" w:space="1" w:color="000000"/>
          <w:right w:val="single" w:sz="4" w:space="4" w:color="000000"/>
        </w:pBdr>
        <w:shd w:val="clear" w:color="auto" w:fill="E6E6E6"/>
        <w:spacing w:after="80"/>
        <w:jc w:val="center"/>
        <w:rPr>
          <w:b/>
        </w:rPr>
      </w:pPr>
      <w:r>
        <w:rPr>
          <w:b/>
        </w:rPr>
        <w:t>PARTNER INFORMATION</w:t>
      </w:r>
    </w:p>
    <w:p w:rsidR="00B44BB6" w:rsidRDefault="00B44BB6">
      <w:pPr>
        <w:spacing w:after="80"/>
      </w:pPr>
    </w:p>
    <w:p w:rsidR="00B44BB6" w:rsidRDefault="00C863B6">
      <w:pPr>
        <w:rPr>
          <w:b/>
          <w:u w:val="single"/>
        </w:rPr>
      </w:pPr>
      <w:r>
        <w:rPr>
          <w:b/>
          <w:u w:val="single"/>
        </w:rPr>
        <w:t>Description of the Legal Entity</w:t>
      </w:r>
    </w:p>
    <w:p w:rsidR="00B44BB6" w:rsidRDefault="00B44BB6">
      <w:pPr>
        <w:spacing w:after="0" w:line="240" w:lineRule="auto"/>
      </w:pPr>
    </w:p>
    <w:p w:rsidR="00B44BB6" w:rsidRDefault="00C863B6">
      <w:pPr>
        <w:pBdr>
          <w:top w:val="single" w:sz="4" w:space="1" w:color="000000"/>
          <w:left w:val="single" w:sz="4" w:space="4" w:color="000000"/>
          <w:bottom w:val="single" w:sz="4" w:space="1" w:color="000000"/>
          <w:right w:val="single" w:sz="4" w:space="4" w:color="000000"/>
        </w:pBdr>
        <w:spacing w:after="80"/>
      </w:pPr>
      <w:r>
        <w:rPr>
          <w:rFonts w:ascii="MS Gothic" w:eastAsia="MS Gothic" w:hAnsi="MS Gothic" w:cs="MS Gothic"/>
        </w:rPr>
        <w:t>☐</w:t>
      </w:r>
      <w:r>
        <w:t xml:space="preserve"> Higher Education</w:t>
      </w:r>
      <w:r>
        <w:tab/>
      </w:r>
      <w:r>
        <w:tab/>
      </w:r>
      <w:r>
        <w:rPr>
          <w:rFonts w:ascii="MS Gothic" w:eastAsia="MS Gothic" w:hAnsi="MS Gothic" w:cs="MS Gothic"/>
        </w:rPr>
        <w:t>☒</w:t>
      </w:r>
      <w:r>
        <w:t xml:space="preserve"> Research Institution</w:t>
      </w:r>
      <w:r>
        <w:tab/>
      </w:r>
      <w:r>
        <w:tab/>
      </w:r>
      <w:r>
        <w:tab/>
      </w:r>
      <w:r>
        <w:tab/>
      </w:r>
      <w:r>
        <w:rPr>
          <w:rFonts w:ascii="MS Gothic" w:eastAsia="MS Gothic" w:hAnsi="MS Gothic" w:cs="MS Gothic"/>
        </w:rPr>
        <w:t>☐</w:t>
      </w:r>
      <w:r>
        <w:t xml:space="preserve"> Public Administration</w:t>
      </w:r>
    </w:p>
    <w:p w:rsidR="00B44BB6" w:rsidRDefault="00C863B6">
      <w:pPr>
        <w:pBdr>
          <w:top w:val="single" w:sz="4" w:space="1" w:color="000000"/>
          <w:left w:val="single" w:sz="4" w:space="4" w:color="000000"/>
          <w:bottom w:val="single" w:sz="4" w:space="1" w:color="000000"/>
          <w:right w:val="single" w:sz="4" w:space="4" w:color="000000"/>
        </w:pBdr>
      </w:pPr>
      <w:r>
        <w:rPr>
          <w:rFonts w:ascii="MS Gothic" w:eastAsia="MS Gothic" w:hAnsi="MS Gothic" w:cs="MS Gothic"/>
        </w:rPr>
        <w:t>☐</w:t>
      </w:r>
      <w:r>
        <w:t xml:space="preserve"> Industry /SME</w:t>
      </w:r>
      <w:r>
        <w:tab/>
      </w:r>
      <w:r>
        <w:tab/>
      </w:r>
      <w:r>
        <w:rPr>
          <w:rFonts w:ascii="MS Gothic" w:eastAsia="MS Gothic" w:hAnsi="MS Gothic" w:cs="MS Gothic"/>
        </w:rPr>
        <w:t>☐</w:t>
      </w:r>
      <w:r>
        <w:t xml:space="preserve"> NGO</w:t>
      </w:r>
      <w:r>
        <w:tab/>
      </w:r>
      <w:r>
        <w:tab/>
      </w:r>
      <w:r>
        <w:tab/>
      </w:r>
      <w:r>
        <w:tab/>
      </w:r>
      <w:r>
        <w:tab/>
      </w:r>
      <w:r>
        <w:tab/>
      </w:r>
      <w:r>
        <w:rPr>
          <w:rFonts w:ascii="MS Gothic" w:eastAsia="MS Gothic" w:hAnsi="MS Gothic" w:cs="MS Gothic"/>
        </w:rPr>
        <w:t>☐</w:t>
      </w:r>
      <w:r>
        <w:t xml:space="preserve"> Other</w:t>
      </w:r>
    </w:p>
    <w:p w:rsidR="00B44BB6" w:rsidRDefault="00B44BB6">
      <w:pPr>
        <w:rPr>
          <w:b/>
          <w:u w:val="single"/>
        </w:rPr>
      </w:pPr>
    </w:p>
    <w:p w:rsidR="00B44BB6" w:rsidRDefault="00C863B6">
      <w:pPr>
        <w:rPr>
          <w:b/>
          <w:u w:val="single"/>
        </w:rPr>
      </w:pPr>
      <w:r>
        <w:rPr>
          <w:b/>
          <w:u w:val="single"/>
        </w:rPr>
        <w:t>Description of the Research Team</w:t>
      </w:r>
    </w:p>
    <w:p w:rsidR="00B44BB6" w:rsidRDefault="00C863B6">
      <w:pPr>
        <w:jc w:val="both"/>
      </w:pPr>
      <w:r>
        <w:t>Affiliated with Sciences Po, IDDRI is a leading think tank in the field of governance and policies for sustainable development (ranked 1st in France and 7th in Europe in the University of Pennsylvania's 2019 ranking in the Environment category). Founded 20</w:t>
      </w:r>
      <w:r>
        <w:t xml:space="preserve"> years ago by Laurence </w:t>
      </w:r>
      <w:proofErr w:type="spellStart"/>
      <w:r>
        <w:t>Tubiana</w:t>
      </w:r>
      <w:proofErr w:type="spellEnd"/>
      <w:r>
        <w:t xml:space="preserve"> and currently headed by </w:t>
      </w:r>
      <w:proofErr w:type="spellStart"/>
      <w:r>
        <w:t>Sébastien</w:t>
      </w:r>
      <w:proofErr w:type="spellEnd"/>
      <w:r>
        <w:t xml:space="preserve"> </w:t>
      </w:r>
      <w:proofErr w:type="spellStart"/>
      <w:r>
        <w:t>Treyer</w:t>
      </w:r>
      <w:proofErr w:type="spellEnd"/>
      <w:r>
        <w:t xml:space="preserve">, IDDRI is </w:t>
      </w:r>
      <w:proofErr w:type="spellStart"/>
      <w:r>
        <w:t>characterised</w:t>
      </w:r>
      <w:proofErr w:type="spellEnd"/>
      <w:r>
        <w:t xml:space="preserve"> by:</w:t>
      </w:r>
    </w:p>
    <w:p w:rsidR="00B44BB6" w:rsidRDefault="00C863B6">
      <w:pPr>
        <w:numPr>
          <w:ilvl w:val="0"/>
          <w:numId w:val="1"/>
        </w:numPr>
        <w:pBdr>
          <w:top w:val="nil"/>
          <w:left w:val="nil"/>
          <w:bottom w:val="nil"/>
          <w:right w:val="nil"/>
          <w:between w:val="nil"/>
        </w:pBdr>
        <w:spacing w:after="0"/>
        <w:jc w:val="both"/>
        <w:rPr>
          <w:color w:val="000000"/>
        </w:rPr>
      </w:pPr>
      <w:r>
        <w:rPr>
          <w:color w:val="000000"/>
        </w:rPr>
        <w:t>a multidisciplinary team of 40 people, including 25 researchers, able of combining environmental, political and economic science to formulate effective reco</w:t>
      </w:r>
      <w:r>
        <w:rPr>
          <w:color w:val="000000"/>
        </w:rPr>
        <w:t>mmendations;</w:t>
      </w:r>
    </w:p>
    <w:p w:rsidR="00B44BB6" w:rsidRDefault="00C863B6">
      <w:pPr>
        <w:numPr>
          <w:ilvl w:val="0"/>
          <w:numId w:val="1"/>
        </w:numPr>
        <w:pBdr>
          <w:top w:val="nil"/>
          <w:left w:val="nil"/>
          <w:bottom w:val="nil"/>
          <w:right w:val="nil"/>
          <w:between w:val="nil"/>
        </w:pBdr>
        <w:jc w:val="both"/>
        <w:rPr>
          <w:color w:val="000000"/>
        </w:rPr>
      </w:pPr>
      <w:proofErr w:type="gramStart"/>
      <w:r>
        <w:rPr>
          <w:color w:val="000000"/>
        </w:rPr>
        <w:t>an</w:t>
      </w:r>
      <w:proofErr w:type="gramEnd"/>
      <w:r>
        <w:rPr>
          <w:color w:val="000000"/>
        </w:rPr>
        <w:t xml:space="preserve"> orientation towards public decision-making, with the ability to reach out to different categories of stakeholders at French, European and international level.</w:t>
      </w:r>
    </w:p>
    <w:p w:rsidR="00B44BB6" w:rsidRDefault="00C863B6">
      <w:pPr>
        <w:jc w:val="both"/>
      </w:pPr>
      <w:r>
        <w:t>ID</w:t>
      </w:r>
      <w:r>
        <w:t xml:space="preserve">DRI’s </w:t>
      </w:r>
      <w:r>
        <w:t xml:space="preserve">"Lifestyles in Transition" </w:t>
      </w:r>
      <w:r>
        <w:t xml:space="preserve">initiative </w:t>
      </w:r>
      <w:r>
        <w:t>questions the place that lifestyle changes could take in the ecological transition. What are the current societal changes and what types of populations are they affecting? What political legitimacy can th</w:t>
      </w:r>
      <w:r>
        <w:t xml:space="preserve">e public authorities have to support </w:t>
      </w:r>
      <w:r>
        <w:t>and</w:t>
      </w:r>
      <w:r>
        <w:t xml:space="preserve"> encourage them? How can these changes go hand in hand with a simultaneous and more structural change in </w:t>
      </w:r>
      <w:r>
        <w:t xml:space="preserve">production </w:t>
      </w:r>
      <w:r>
        <w:t xml:space="preserve">patterns </w:t>
      </w:r>
      <w:r>
        <w:t xml:space="preserve">and </w:t>
      </w:r>
      <w:r>
        <w:t xml:space="preserve">in the </w:t>
      </w:r>
      <w:r>
        <w:t>organization of our societies</w:t>
      </w:r>
      <w:r>
        <w:t xml:space="preserve">? We lead this reflection with </w:t>
      </w:r>
      <w:r>
        <w:t>cross</w:t>
      </w:r>
      <w:r>
        <w:t>-</w:t>
      </w:r>
      <w:r>
        <w:t xml:space="preserve">sectoral and </w:t>
      </w:r>
      <w:r>
        <w:t>cross-</w:t>
      </w:r>
      <w:r>
        <w:t>disciplinary perspectives in order to create a holistic approach to the lifestyle</w:t>
      </w:r>
      <w:r>
        <w:t xml:space="preserve"> change</w:t>
      </w:r>
      <w:r>
        <w:t xml:space="preserve"> issue</w:t>
      </w:r>
      <w:r>
        <w:t>s</w:t>
      </w:r>
      <w:r>
        <w:t xml:space="preserve">. </w:t>
      </w:r>
    </w:p>
    <w:p w:rsidR="00B44BB6" w:rsidRDefault="00C863B6">
      <w:pPr>
        <w:jc w:val="both"/>
      </w:pPr>
      <w:r>
        <w:t>Composed of two full-time senior researchers, the</w:t>
      </w:r>
      <w:r>
        <w:t xml:space="preserve"> "Lifestyles in Transition" </w:t>
      </w:r>
      <w:r>
        <w:t>init</w:t>
      </w:r>
      <w:r>
        <w:t xml:space="preserve">iative </w:t>
      </w:r>
      <w:r>
        <w:t>work</w:t>
      </w:r>
      <w:r>
        <w:t>s</w:t>
      </w:r>
      <w:r>
        <w:t xml:space="preserve"> in collaboration with </w:t>
      </w:r>
      <w:r>
        <w:t xml:space="preserve">the </w:t>
      </w:r>
      <w:r>
        <w:t>other IDDRI programs</w:t>
      </w:r>
      <w:r>
        <w:t xml:space="preserve"> (covering all major environmental issues and sectoral transitions</w:t>
      </w:r>
      <w:r>
        <w:t xml:space="preserve">) </w:t>
      </w:r>
      <w:r>
        <w:t xml:space="preserve">in order to </w:t>
      </w:r>
      <w:r>
        <w:t>better</w:t>
      </w:r>
      <w:r>
        <w:t xml:space="preserve"> take</w:t>
      </w:r>
      <w:r>
        <w:t xml:space="preserve"> lifestyle changes</w:t>
      </w:r>
      <w:r>
        <w:t xml:space="preserve"> into account</w:t>
      </w:r>
      <w:r>
        <w:t xml:space="preserve"> and decipher the issues they raise</w:t>
      </w:r>
      <w:r>
        <w:t xml:space="preserve"> </w:t>
      </w:r>
      <w:r>
        <w:t>in the Institute's various fields of expertise (</w:t>
      </w:r>
      <w:r>
        <w:t>agriculture/food, tourism, transport/mobility…).</w:t>
      </w:r>
    </w:p>
    <w:p w:rsidR="00B44BB6" w:rsidRDefault="00C863B6">
      <w:pPr>
        <w:jc w:val="both"/>
      </w:pPr>
      <w:r>
        <w:t>We therefore propose to contri</w:t>
      </w:r>
      <w:r>
        <w:t>bute to the consortium with:</w:t>
      </w:r>
    </w:p>
    <w:p w:rsidR="00B44BB6" w:rsidRDefault="00C863B6">
      <w:pPr>
        <w:numPr>
          <w:ilvl w:val="0"/>
          <w:numId w:val="1"/>
        </w:numPr>
        <w:pBdr>
          <w:top w:val="nil"/>
          <w:left w:val="nil"/>
          <w:bottom w:val="nil"/>
          <w:right w:val="nil"/>
          <w:between w:val="nil"/>
        </w:pBdr>
        <w:spacing w:after="0"/>
        <w:jc w:val="both"/>
        <w:rPr>
          <w:color w:val="000000"/>
        </w:rPr>
      </w:pPr>
      <w:r>
        <w:rPr>
          <w:color w:val="000000"/>
        </w:rPr>
        <w:t>An excellent knowledge of the issues related to the</w:t>
      </w:r>
      <w:r>
        <w:rPr>
          <w:b/>
          <w:color w:val="000000"/>
        </w:rPr>
        <w:t xml:space="preserve"> implementation of the Green Deal</w:t>
      </w:r>
      <w:r>
        <w:rPr>
          <w:color w:val="000000"/>
        </w:rPr>
        <w:t>;</w:t>
      </w:r>
    </w:p>
    <w:p w:rsidR="00B44BB6" w:rsidRDefault="00C863B6">
      <w:pPr>
        <w:numPr>
          <w:ilvl w:val="0"/>
          <w:numId w:val="1"/>
        </w:numPr>
        <w:pBdr>
          <w:top w:val="nil"/>
          <w:left w:val="nil"/>
          <w:bottom w:val="nil"/>
          <w:right w:val="nil"/>
          <w:between w:val="nil"/>
        </w:pBdr>
        <w:spacing w:after="0"/>
        <w:jc w:val="both"/>
        <w:rPr>
          <w:color w:val="000000"/>
        </w:rPr>
      </w:pPr>
      <w:r>
        <w:rPr>
          <w:color w:val="000000"/>
        </w:rPr>
        <w:t xml:space="preserve">The ability to mobilize a </w:t>
      </w:r>
      <w:r>
        <w:rPr>
          <w:b/>
          <w:color w:val="000000"/>
        </w:rPr>
        <w:t>transdisciplinary team</w:t>
      </w:r>
      <w:r>
        <w:rPr>
          <w:color w:val="000000"/>
        </w:rPr>
        <w:t xml:space="preserve"> to contribute to the work of the consortium;</w:t>
      </w:r>
    </w:p>
    <w:p w:rsidR="00B44BB6" w:rsidRDefault="00C863B6">
      <w:pPr>
        <w:numPr>
          <w:ilvl w:val="0"/>
          <w:numId w:val="1"/>
        </w:numPr>
        <w:pBdr>
          <w:top w:val="nil"/>
          <w:left w:val="nil"/>
          <w:bottom w:val="nil"/>
          <w:right w:val="nil"/>
          <w:between w:val="nil"/>
        </w:pBdr>
        <w:spacing w:after="0"/>
        <w:jc w:val="both"/>
        <w:rPr>
          <w:color w:val="000000"/>
        </w:rPr>
      </w:pPr>
      <w:bookmarkStart w:id="0" w:name="_gjdgxs" w:colFirst="0" w:colLast="0"/>
      <w:bookmarkEnd w:id="0"/>
      <w:r>
        <w:rPr>
          <w:color w:val="000000"/>
        </w:rPr>
        <w:lastRenderedPageBreak/>
        <w:t xml:space="preserve">A strong orientation towards </w:t>
      </w:r>
      <w:r>
        <w:rPr>
          <w:b/>
          <w:color w:val="000000"/>
        </w:rPr>
        <w:t>political decision-making</w:t>
      </w:r>
      <w:r>
        <w:rPr>
          <w:color w:val="000000"/>
        </w:rPr>
        <w:t>, with a solid communication team and networks at French, European and international level;</w:t>
      </w:r>
    </w:p>
    <w:p w:rsidR="00B44BB6" w:rsidRPr="00C863B6" w:rsidRDefault="00C863B6" w:rsidP="00C863B6">
      <w:pPr>
        <w:numPr>
          <w:ilvl w:val="0"/>
          <w:numId w:val="1"/>
        </w:numPr>
        <w:pBdr>
          <w:top w:val="nil"/>
          <w:left w:val="nil"/>
          <w:bottom w:val="nil"/>
          <w:right w:val="nil"/>
          <w:between w:val="nil"/>
        </w:pBdr>
        <w:jc w:val="both"/>
        <w:rPr>
          <w:color w:val="000000"/>
        </w:rPr>
      </w:pPr>
      <w:r>
        <w:rPr>
          <w:color w:val="000000"/>
        </w:rPr>
        <w:t>The dissemination of the consortium's work throughout IDDRI's work programs.</w:t>
      </w:r>
    </w:p>
    <w:p w:rsidR="00B44BB6" w:rsidRDefault="00C863B6">
      <w:pPr>
        <w:rPr>
          <w:b/>
          <w:u w:val="single"/>
        </w:rPr>
      </w:pPr>
      <w:r>
        <w:rPr>
          <w:b/>
          <w:u w:val="single"/>
        </w:rPr>
        <w:t>Expertise of the Team Leader</w:t>
      </w:r>
    </w:p>
    <w:p w:rsidR="00B44BB6" w:rsidRDefault="00C863B6">
      <w:pPr>
        <w:numPr>
          <w:ilvl w:val="0"/>
          <w:numId w:val="2"/>
        </w:numPr>
        <w:pBdr>
          <w:top w:val="nil"/>
          <w:left w:val="nil"/>
          <w:bottom w:val="nil"/>
          <w:right w:val="nil"/>
          <w:between w:val="nil"/>
        </w:pBdr>
        <w:spacing w:after="0"/>
        <w:rPr>
          <w:color w:val="000000"/>
        </w:rPr>
      </w:pPr>
      <w:r>
        <w:rPr>
          <w:color w:val="000000"/>
        </w:rPr>
        <w:t>Ability to translate knowledge</w:t>
      </w:r>
      <w:r>
        <w:rPr>
          <w:color w:val="000000"/>
        </w:rPr>
        <w:t xml:space="preserve"> from research into political recommendations and strategy</w:t>
      </w:r>
    </w:p>
    <w:p w:rsidR="00B44BB6" w:rsidRDefault="00C863B6">
      <w:pPr>
        <w:numPr>
          <w:ilvl w:val="0"/>
          <w:numId w:val="2"/>
        </w:numPr>
        <w:pBdr>
          <w:top w:val="nil"/>
          <w:left w:val="nil"/>
          <w:bottom w:val="nil"/>
          <w:right w:val="nil"/>
          <w:between w:val="nil"/>
        </w:pBdr>
        <w:spacing w:after="0"/>
        <w:rPr>
          <w:color w:val="000000"/>
        </w:rPr>
      </w:pPr>
      <w:r>
        <w:rPr>
          <w:color w:val="000000"/>
        </w:rPr>
        <w:t xml:space="preserve">Multi sectorial approach of lifestyles, with specific expertise in food, mobility and tourism. </w:t>
      </w:r>
    </w:p>
    <w:p w:rsidR="00B44BB6" w:rsidRDefault="00C863B6">
      <w:pPr>
        <w:numPr>
          <w:ilvl w:val="0"/>
          <w:numId w:val="2"/>
        </w:numPr>
        <w:pBdr>
          <w:top w:val="nil"/>
          <w:left w:val="nil"/>
          <w:bottom w:val="nil"/>
          <w:right w:val="nil"/>
          <w:between w:val="nil"/>
        </w:pBdr>
        <w:rPr>
          <w:color w:val="000000"/>
        </w:rPr>
      </w:pPr>
      <w:r>
        <w:rPr>
          <w:color w:val="000000"/>
        </w:rPr>
        <w:t xml:space="preserve">Ability to dialogue (and get dialogue) between different academic disciplines </w:t>
      </w:r>
    </w:p>
    <w:p w:rsidR="00B44BB6" w:rsidRDefault="00C863B6">
      <w:r>
        <w:rPr>
          <w:b/>
          <w:u w:val="single"/>
        </w:rPr>
        <w:t>Field of expertise related to the topic</w:t>
      </w:r>
    </w:p>
    <w:p w:rsidR="00B44BB6" w:rsidRDefault="00C863B6">
      <w:bookmarkStart w:id="1" w:name="_GoBack"/>
      <w:bookmarkEnd w:id="1"/>
      <w:r>
        <w:rPr>
          <w:rFonts w:ascii="MS Gothic" w:eastAsia="MS Gothic" w:hAnsi="MS Gothic" w:cs="MS Gothic"/>
        </w:rPr>
        <w:t>☒</w:t>
      </w:r>
      <w:r>
        <w:t xml:space="preserve"> Social &amp; Societal Impact of a just ecological transition</w:t>
      </w:r>
    </w:p>
    <w:p w:rsidR="00B44BB6" w:rsidRDefault="00C863B6">
      <w:r>
        <w:rPr>
          <w:rFonts w:ascii="MS Gothic" w:eastAsia="MS Gothic" w:hAnsi="MS Gothic" w:cs="MS Gothic"/>
        </w:rPr>
        <w:t>☒</w:t>
      </w:r>
      <w:r>
        <w:t xml:space="preserve"> Sectoral pathways for a just ecological transition</w:t>
      </w:r>
    </w:p>
    <w:p w:rsidR="00B44BB6" w:rsidRDefault="00C863B6">
      <w:r>
        <w:rPr>
          <w:rFonts w:ascii="MS Gothic" w:eastAsia="MS Gothic" w:hAnsi="MS Gothic" w:cs="MS Gothic"/>
        </w:rPr>
        <w:t>☒</w:t>
      </w:r>
      <w:r>
        <w:t xml:space="preserve"> Political implementation of the Green Deal</w:t>
      </w:r>
    </w:p>
    <w:p w:rsidR="00B44BB6" w:rsidRDefault="00C863B6">
      <w:r>
        <w:rPr>
          <w:rFonts w:ascii="MS Gothic" w:eastAsia="MS Gothic" w:hAnsi="MS Gothic" w:cs="MS Gothic"/>
        </w:rPr>
        <w:t>☒</w:t>
      </w:r>
      <w:r>
        <w:t xml:space="preserve"> Legitimacy of public authorities and policy design to act on </w:t>
      </w:r>
      <w:proofErr w:type="spellStart"/>
      <w:r>
        <w:t>behaviours</w:t>
      </w:r>
      <w:proofErr w:type="spellEnd"/>
    </w:p>
    <w:p w:rsidR="00B44BB6" w:rsidRDefault="00B44BB6"/>
    <w:p w:rsidR="00B44BB6" w:rsidRDefault="00C863B6">
      <w:pPr>
        <w:rPr>
          <w:b/>
          <w:u w:val="single"/>
        </w:rPr>
      </w:pPr>
      <w:r>
        <w:rPr>
          <w:b/>
          <w:u w:val="single"/>
        </w:rPr>
        <w:t>Potential role</w:t>
      </w:r>
    </w:p>
    <w:p w:rsidR="00B44BB6" w:rsidRDefault="00C863B6">
      <w:r>
        <w:rPr>
          <w:rFonts w:ascii="MS Gothic" w:eastAsia="MS Gothic" w:hAnsi="MS Gothic" w:cs="MS Gothic"/>
        </w:rPr>
        <w:t>☒</w:t>
      </w:r>
      <w:r>
        <w:t xml:space="preserve"> Research</w:t>
      </w:r>
      <w:r>
        <w:tab/>
      </w:r>
      <w:r>
        <w:tab/>
      </w:r>
      <w:r>
        <w:tab/>
      </w:r>
      <w:r>
        <w:tab/>
      </w:r>
      <w:r>
        <w:tab/>
      </w:r>
      <w:r>
        <w:rPr>
          <w:rFonts w:ascii="MS Gothic" w:eastAsia="MS Gothic" w:hAnsi="MS Gothic" w:cs="MS Gothic"/>
        </w:rPr>
        <w:t>☐</w:t>
      </w:r>
      <w:r>
        <w:t xml:space="preserve"> Technology Development</w:t>
      </w:r>
    </w:p>
    <w:p w:rsidR="00B44BB6" w:rsidRDefault="00C863B6">
      <w:r>
        <w:rPr>
          <w:rFonts w:ascii="MS Gothic" w:eastAsia="MS Gothic" w:hAnsi="MS Gothic" w:cs="MS Gothic"/>
        </w:rPr>
        <w:t>☒</w:t>
      </w:r>
      <w:r>
        <w:t xml:space="preserve"> Dissemination</w:t>
      </w:r>
      <w:r>
        <w:tab/>
      </w:r>
      <w:r>
        <w:tab/>
      </w:r>
      <w:r>
        <w:tab/>
      </w:r>
      <w:r>
        <w:tab/>
      </w:r>
      <w:r>
        <w:rPr>
          <w:rFonts w:ascii="MS Gothic" w:eastAsia="MS Gothic" w:hAnsi="MS Gothic" w:cs="MS Gothic"/>
        </w:rPr>
        <w:t>☐</w:t>
      </w:r>
      <w:r>
        <w:t xml:space="preserve"> Training</w:t>
      </w:r>
    </w:p>
    <w:p w:rsidR="00B44BB6" w:rsidRDefault="00B44BB6"/>
    <w:p w:rsidR="00B44BB6" w:rsidRDefault="00C863B6">
      <w:pPr>
        <w:pBdr>
          <w:top w:val="single" w:sz="4" w:space="1" w:color="000000"/>
          <w:left w:val="single" w:sz="4" w:space="4" w:color="000000"/>
          <w:bottom w:val="single" w:sz="4" w:space="1" w:color="000000"/>
          <w:right w:val="single" w:sz="4" w:space="4" w:color="000000"/>
        </w:pBdr>
      </w:pPr>
      <w:r>
        <w:t xml:space="preserve">Already experience as a </w:t>
      </w:r>
      <w:r>
        <w:tab/>
        <w:t>Coordinator</w:t>
      </w:r>
      <w:r>
        <w:tab/>
      </w:r>
      <w:r>
        <w:tab/>
      </w:r>
      <w:r>
        <w:rPr>
          <w:rFonts w:ascii="MS Gothic" w:eastAsia="MS Gothic" w:hAnsi="MS Gothic" w:cs="MS Gothic"/>
        </w:rPr>
        <w:t>☒</w:t>
      </w:r>
      <w:r>
        <w:t xml:space="preserve"> YES</w:t>
      </w:r>
      <w:r>
        <w:tab/>
      </w:r>
      <w:r>
        <w:tab/>
      </w:r>
      <w:r>
        <w:rPr>
          <w:rFonts w:ascii="MS Gothic" w:eastAsia="MS Gothic" w:hAnsi="MS Gothic" w:cs="MS Gothic"/>
        </w:rPr>
        <w:t>☐</w:t>
      </w:r>
      <w:r>
        <w:t xml:space="preserve"> NO</w:t>
      </w:r>
    </w:p>
    <w:p w:rsidR="00B44BB6" w:rsidRDefault="00C863B6">
      <w:pPr>
        <w:pBdr>
          <w:top w:val="single" w:sz="4" w:space="1" w:color="000000"/>
          <w:left w:val="single" w:sz="4" w:space="4" w:color="000000"/>
          <w:bottom w:val="single" w:sz="4" w:space="1" w:color="000000"/>
          <w:right w:val="single" w:sz="4" w:space="4" w:color="000000"/>
        </w:pBdr>
      </w:pPr>
      <w:r>
        <w:tab/>
      </w:r>
      <w:r>
        <w:tab/>
      </w:r>
      <w:r>
        <w:tab/>
      </w:r>
      <w:r>
        <w:tab/>
        <w:t>Partner</w:t>
      </w:r>
      <w:r>
        <w:tab/>
      </w:r>
      <w:r>
        <w:tab/>
      </w:r>
      <w:r>
        <w:tab/>
      </w:r>
      <w:r>
        <w:rPr>
          <w:rFonts w:ascii="MS Gothic" w:eastAsia="MS Gothic" w:hAnsi="MS Gothic" w:cs="MS Gothic"/>
        </w:rPr>
        <w:t>☒</w:t>
      </w:r>
      <w:r>
        <w:t xml:space="preserve"> YES</w:t>
      </w:r>
      <w:r>
        <w:tab/>
      </w:r>
      <w:r>
        <w:tab/>
      </w:r>
      <w:r>
        <w:rPr>
          <w:rFonts w:ascii="MS Gothic" w:eastAsia="MS Gothic" w:hAnsi="MS Gothic" w:cs="MS Gothic"/>
        </w:rPr>
        <w:t>☐</w:t>
      </w:r>
      <w:r>
        <w:t xml:space="preserve"> NO</w:t>
      </w:r>
    </w:p>
    <w:p w:rsidR="00B44BB6" w:rsidRDefault="00C863B6">
      <w:pPr>
        <w:pBdr>
          <w:top w:val="single" w:sz="4" w:space="1" w:color="000000"/>
          <w:left w:val="single" w:sz="4" w:space="4" w:color="000000"/>
          <w:bottom w:val="single" w:sz="4" w:space="1" w:color="000000"/>
          <w:right w:val="single" w:sz="4" w:space="4" w:color="000000"/>
        </w:pBdr>
      </w:pPr>
      <w:r>
        <w:tab/>
      </w:r>
      <w:r>
        <w:tab/>
      </w:r>
      <w:r>
        <w:tab/>
      </w:r>
      <w:r>
        <w:tab/>
        <w:t>Expert Evaluat</w:t>
      </w:r>
      <w:r>
        <w:t>or</w:t>
      </w:r>
      <w:r>
        <w:tab/>
      </w:r>
      <w:r>
        <w:rPr>
          <w:rFonts w:ascii="MS Gothic" w:eastAsia="MS Gothic" w:hAnsi="MS Gothic" w:cs="MS Gothic"/>
        </w:rPr>
        <w:t>☐</w:t>
      </w:r>
      <w:r>
        <w:t xml:space="preserve"> YES</w:t>
      </w:r>
      <w:r>
        <w:tab/>
      </w:r>
      <w:r>
        <w:tab/>
      </w:r>
      <w:r>
        <w:rPr>
          <w:rFonts w:ascii="MS Gothic" w:eastAsia="MS Gothic" w:hAnsi="MS Gothic" w:cs="MS Gothic"/>
        </w:rPr>
        <w:t>☒</w:t>
      </w:r>
      <w:r>
        <w:t xml:space="preserve"> NO</w:t>
      </w:r>
    </w:p>
    <w:p w:rsidR="00B44BB6" w:rsidRDefault="00B44BB6">
      <w:pPr>
        <w:rPr>
          <w:b/>
        </w:rPr>
      </w:pPr>
    </w:p>
    <w:p w:rsidR="00B44BB6" w:rsidRDefault="00C863B6" w:rsidP="00C863B6">
      <w:pPr>
        <w:pBdr>
          <w:top w:val="single" w:sz="4" w:space="1" w:color="000000"/>
          <w:left w:val="single" w:sz="4" w:space="4" w:color="000000"/>
          <w:bottom w:val="single" w:sz="4" w:space="1" w:color="000000"/>
          <w:right w:val="single" w:sz="4" w:space="4" w:color="000000"/>
        </w:pBdr>
        <w:shd w:val="clear" w:color="auto" w:fill="E6E6E6"/>
        <w:spacing w:after="80"/>
        <w:jc w:val="center"/>
        <w:rPr>
          <w:b/>
        </w:rPr>
      </w:pPr>
      <w:r>
        <w:rPr>
          <w:b/>
        </w:rPr>
        <w:t>CONTACT DETAILS</w:t>
      </w:r>
    </w:p>
    <w:p w:rsidR="00B44BB6" w:rsidRDefault="00B44BB6"/>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B44BB6">
        <w:trPr>
          <w:trHeight w:val="340"/>
        </w:trPr>
        <w:tc>
          <w:tcPr>
            <w:tcW w:w="9628" w:type="dxa"/>
            <w:vAlign w:val="center"/>
          </w:tcPr>
          <w:p w:rsidR="00B44BB6" w:rsidRDefault="00C863B6">
            <w:r>
              <w:t xml:space="preserve">Contact Person: Laura </w:t>
            </w:r>
            <w:proofErr w:type="spellStart"/>
            <w:r>
              <w:t>Brimont</w:t>
            </w:r>
            <w:proofErr w:type="spellEnd"/>
          </w:p>
        </w:tc>
      </w:tr>
      <w:tr w:rsidR="00B44BB6">
        <w:trPr>
          <w:trHeight w:val="340"/>
        </w:trPr>
        <w:tc>
          <w:tcPr>
            <w:tcW w:w="9628" w:type="dxa"/>
            <w:vAlign w:val="center"/>
          </w:tcPr>
          <w:p w:rsidR="00B44BB6" w:rsidRDefault="00C863B6">
            <w:r>
              <w:t xml:space="preserve">Organization: </w:t>
            </w:r>
            <w:proofErr w:type="spellStart"/>
            <w:r>
              <w:t>Iddri</w:t>
            </w:r>
            <w:proofErr w:type="spellEnd"/>
          </w:p>
        </w:tc>
      </w:tr>
      <w:tr w:rsidR="00B44BB6">
        <w:trPr>
          <w:trHeight w:val="340"/>
        </w:trPr>
        <w:tc>
          <w:tcPr>
            <w:tcW w:w="9628" w:type="dxa"/>
            <w:vAlign w:val="center"/>
          </w:tcPr>
          <w:p w:rsidR="00B44BB6" w:rsidRDefault="00C863B6">
            <w:r>
              <w:t>City: Paris</w:t>
            </w:r>
          </w:p>
        </w:tc>
      </w:tr>
      <w:tr w:rsidR="00B44BB6">
        <w:trPr>
          <w:trHeight w:val="340"/>
        </w:trPr>
        <w:tc>
          <w:tcPr>
            <w:tcW w:w="9628" w:type="dxa"/>
            <w:vAlign w:val="center"/>
          </w:tcPr>
          <w:p w:rsidR="00B44BB6" w:rsidRDefault="00C863B6">
            <w:r>
              <w:t>Country: France</w:t>
            </w:r>
          </w:p>
        </w:tc>
      </w:tr>
      <w:tr w:rsidR="00B44BB6">
        <w:trPr>
          <w:trHeight w:val="340"/>
        </w:trPr>
        <w:tc>
          <w:tcPr>
            <w:tcW w:w="9628" w:type="dxa"/>
            <w:vAlign w:val="center"/>
          </w:tcPr>
          <w:p w:rsidR="00B44BB6" w:rsidRDefault="00C863B6">
            <w:r>
              <w:t>Phone: 0033622480270</w:t>
            </w:r>
          </w:p>
        </w:tc>
      </w:tr>
      <w:tr w:rsidR="00B44BB6">
        <w:trPr>
          <w:trHeight w:val="340"/>
        </w:trPr>
        <w:tc>
          <w:tcPr>
            <w:tcW w:w="9628" w:type="dxa"/>
            <w:vAlign w:val="center"/>
          </w:tcPr>
          <w:p w:rsidR="00B44BB6" w:rsidRDefault="00C863B6">
            <w:r>
              <w:t xml:space="preserve">Email: laura.brimont@iddri.org </w:t>
            </w:r>
          </w:p>
        </w:tc>
      </w:tr>
      <w:tr w:rsidR="00B44BB6">
        <w:trPr>
          <w:trHeight w:val="340"/>
        </w:trPr>
        <w:tc>
          <w:tcPr>
            <w:tcW w:w="9628" w:type="dxa"/>
            <w:vAlign w:val="center"/>
          </w:tcPr>
          <w:p w:rsidR="00B44BB6" w:rsidRDefault="00C863B6">
            <w:r>
              <w:t xml:space="preserve">Organization Website: </w:t>
            </w:r>
            <w:hyperlink r:id="rId6">
              <w:r>
                <w:rPr>
                  <w:color w:val="0563C1"/>
                  <w:u w:val="single"/>
                </w:rPr>
                <w:t>www.iddri.org</w:t>
              </w:r>
            </w:hyperlink>
          </w:p>
        </w:tc>
      </w:tr>
      <w:tr w:rsidR="00B44BB6">
        <w:trPr>
          <w:trHeight w:val="340"/>
        </w:trPr>
        <w:tc>
          <w:tcPr>
            <w:tcW w:w="9628" w:type="dxa"/>
            <w:vAlign w:val="center"/>
          </w:tcPr>
          <w:p w:rsidR="00B44BB6" w:rsidRDefault="00C863B6">
            <w:r>
              <w:t>Contact Person Webpage: https://www.iddri.org/en/about-iddri/team/laura-brimont</w:t>
            </w:r>
          </w:p>
        </w:tc>
      </w:tr>
    </w:tbl>
    <w:p w:rsidR="00B44BB6" w:rsidRDefault="00B44BB6"/>
    <w:p w:rsidR="00B44BB6" w:rsidRDefault="00C863B6">
      <w:r>
        <w:t>Date: 28/09/20</w:t>
      </w:r>
    </w:p>
    <w:p w:rsidR="00B44BB6" w:rsidRDefault="00B44BB6"/>
    <w:sectPr w:rsidR="00B44BB6">
      <w:pgSz w:w="11906" w:h="16838"/>
      <w:pgMar w:top="1134"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84E"/>
    <w:multiLevelType w:val="multilevel"/>
    <w:tmpl w:val="41944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9941CE3"/>
    <w:multiLevelType w:val="multilevel"/>
    <w:tmpl w:val="ACBAE87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B44BB6"/>
    <w:rsid w:val="00B44BB6"/>
    <w:rsid w:val="00C863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dri.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3242</Characters>
  <Application>Microsoft Office Word</Application>
  <DocSecurity>0</DocSecurity>
  <Lines>27</Lines>
  <Paragraphs>7</Paragraphs>
  <ScaleCrop>false</ScaleCrop>
  <Company>SciencesPo</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BRIMONT</cp:lastModifiedBy>
  <cp:revision>2</cp:revision>
  <dcterms:created xsi:type="dcterms:W3CDTF">2020-09-29T10:27:00Z</dcterms:created>
  <dcterms:modified xsi:type="dcterms:W3CDTF">2020-09-29T10:29:00Z</dcterms:modified>
</cp:coreProperties>
</file>